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rPr>
          <w:rFonts w:eastAsia="方正小标宋简体"/>
          <w:b/>
          <w:bCs/>
          <w:color w:val="000000" w:themeColor="text1"/>
          <w:sz w:val="48"/>
          <w:szCs w:val="48"/>
          <w:highlight w:val="none"/>
          <w14:textFill>
            <w14:solidFill>
              <w14:schemeClr w14:val="tx1"/>
            </w14:solidFill>
          </w14:textFill>
        </w:rPr>
      </w:pPr>
      <w:r>
        <w:rPr>
          <w:b/>
          <w:bCs/>
          <w:color w:val="000000" w:themeColor="text1"/>
          <w:sz w:val="48"/>
          <w:szCs w:val="48"/>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4470400</wp:posOffset>
                </wp:positionH>
                <wp:positionV relativeFrom="paragraph">
                  <wp:posOffset>346710</wp:posOffset>
                </wp:positionV>
                <wp:extent cx="1313815" cy="899795"/>
                <wp:effectExtent l="4445" t="4445" r="15240" b="10160"/>
                <wp:wrapNone/>
                <wp:docPr id="1" name="文本框 1"/>
                <wp:cNvGraphicFramePr/>
                <a:graphic xmlns:a="http://schemas.openxmlformats.org/drawingml/2006/main">
                  <a:graphicData uri="http://schemas.microsoft.com/office/word/2010/wordprocessingShape">
                    <wps:wsp>
                      <wps:cNvSpPr txBox="1"/>
                      <wps:spPr>
                        <a:xfrm>
                          <a:off x="0" y="0"/>
                          <a:ext cx="1313815" cy="89979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1000" w:lineRule="exact"/>
                              <w:rPr>
                                <w:rFonts w:ascii="方正小标宋简体" w:hAnsi="方正小标宋简体" w:eastAsia="方正小标宋简体" w:cs="方正小标宋简体"/>
                                <w:w w:val="90"/>
                              </w:rPr>
                            </w:pPr>
                            <w:r>
                              <w:rPr>
                                <w:rFonts w:hint="eastAsia" w:ascii="方正小标宋简体" w:hAnsi="方正小标宋简体" w:eastAsia="方正小标宋简体" w:cs="方正小标宋简体"/>
                                <w:w w:val="85"/>
                                <w:sz w:val="90"/>
                                <w:szCs w:val="90"/>
                              </w:rPr>
                              <w:t>文件</w:t>
                            </w:r>
                          </w:p>
                        </w:txbxContent>
                      </wps:txbx>
                      <wps:bodyPr upright="1"/>
                    </wps:wsp>
                  </a:graphicData>
                </a:graphic>
              </wp:anchor>
            </w:drawing>
          </mc:Choice>
          <mc:Fallback>
            <w:pict>
              <v:shape id="_x0000_s1026" o:spid="_x0000_s1026" o:spt="202" type="#_x0000_t202" style="position:absolute;left:0pt;margin-left:352pt;margin-top:27.3pt;height:70.85pt;width:103.45pt;z-index:251659264;mso-width-relative:page;mso-height-relative:page;" fillcolor="#FFFFFF" filled="t" stroked="t" coordsize="21600,21600" o:gfxdata="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0TZkC9gAAAAKAQAADwAAAAAAAAABACAAAAAiAAAAZHJz&#10;L2Rvd25yZXYueG1sUEsBAhQAFAAAAAgAh07iQMfgIwoEAgAANgQAAA4AAAAAAAAAAQAgAAAAJwEA&#10;AGRycy9lMm9Eb2MueG1sUEsFBgAAAAAGAAYAWQEAAJ0FAAAAAA==&#10;">
                <v:fill on="t" focussize="0,0"/>
                <v:stroke color="#FFFFFF" joinstyle="miter"/>
                <v:imagedata o:title=""/>
                <o:lock v:ext="edit" aspectratio="f"/>
                <v:textbox>
                  <w:txbxContent>
                    <w:p>
                      <w:pPr>
                        <w:spacing w:line="1000" w:lineRule="exact"/>
                        <w:rPr>
                          <w:rFonts w:ascii="方正小标宋简体" w:hAnsi="方正小标宋简体" w:eastAsia="方正小标宋简体" w:cs="方正小标宋简体"/>
                          <w:w w:val="90"/>
                        </w:rPr>
                      </w:pPr>
                      <w:r>
                        <w:rPr>
                          <w:rFonts w:hint="eastAsia" w:ascii="方正小标宋简体" w:hAnsi="方正小标宋简体" w:eastAsia="方正小标宋简体" w:cs="方正小标宋简体"/>
                          <w:w w:val="85"/>
                          <w:sz w:val="90"/>
                          <w:szCs w:val="90"/>
                        </w:rPr>
                        <w:t>文件</w:t>
                      </w:r>
                    </w:p>
                  </w:txbxContent>
                </v:textbox>
              </v:shape>
            </w:pict>
          </mc:Fallback>
        </mc:AlternateContent>
      </w:r>
      <w:r>
        <w:rPr>
          <w:rFonts w:eastAsia="方正小标宋简体"/>
          <w:b/>
          <w:bCs/>
          <w:color w:val="000000" w:themeColor="text1"/>
          <w:sz w:val="48"/>
          <w:szCs w:val="48"/>
          <w:highlight w:val="none"/>
          <w14:textFill>
            <w14:solidFill>
              <w14:schemeClr w14:val="tx1"/>
            </w14:solidFill>
          </w14:textFill>
        </w:rPr>
        <w:t>濮阳市</w:t>
      </w:r>
      <w:r>
        <w:rPr>
          <w:rFonts w:hint="eastAsia" w:eastAsia="方正小标宋简体"/>
          <w:b/>
          <w:bCs/>
          <w:color w:val="000000" w:themeColor="text1"/>
          <w:sz w:val="48"/>
          <w:szCs w:val="48"/>
          <w:highlight w:val="none"/>
          <w:lang w:eastAsia="zh-CN"/>
          <w14:textFill>
            <w14:solidFill>
              <w14:schemeClr w14:val="tx1"/>
            </w14:solidFill>
          </w14:textFill>
        </w:rPr>
        <w:t>华龙区</w:t>
      </w:r>
      <w:r>
        <w:rPr>
          <w:rFonts w:eastAsia="方正小标宋简体"/>
          <w:b/>
          <w:bCs/>
          <w:color w:val="000000" w:themeColor="text1"/>
          <w:sz w:val="48"/>
          <w:szCs w:val="48"/>
          <w:highlight w:val="none"/>
          <w14:textFill>
            <w14:solidFill>
              <w14:schemeClr w14:val="tx1"/>
            </w14:solidFill>
          </w14:textFill>
        </w:rPr>
        <w:t>发展和改革委员</w:t>
      </w:r>
      <w:r>
        <w:rPr>
          <w:rFonts w:hint="eastAsia" w:eastAsia="方正小标宋简体"/>
          <w:b/>
          <w:bCs/>
          <w:color w:val="000000" w:themeColor="text1"/>
          <w:sz w:val="48"/>
          <w:szCs w:val="48"/>
          <w:highlight w:val="none"/>
          <w:lang w:val="en-US" w:eastAsia="zh-CN"/>
          <w14:textFill>
            <w14:solidFill>
              <w14:schemeClr w14:val="tx1"/>
            </w14:solidFill>
          </w14:textFill>
        </w:rPr>
        <w:t xml:space="preserve"> </w:t>
      </w:r>
      <w:r>
        <w:rPr>
          <w:rFonts w:eastAsia="方正小标宋简体"/>
          <w:b/>
          <w:bCs/>
          <w:color w:val="000000" w:themeColor="text1"/>
          <w:sz w:val="48"/>
          <w:szCs w:val="48"/>
          <w:highlight w:val="none"/>
          <w14:textFill>
            <w14:solidFill>
              <w14:schemeClr w14:val="tx1"/>
            </w14:solidFill>
          </w14:textFill>
        </w:rPr>
        <w:t>会</w:t>
      </w:r>
    </w:p>
    <w:p>
      <w:pPr>
        <w:spacing w:line="600" w:lineRule="exact"/>
        <w:jc w:val="both"/>
        <w:rPr>
          <w:rFonts w:hint="eastAsia" w:eastAsia="方正小标宋简体"/>
          <w:b/>
          <w:bCs/>
          <w:color w:val="000000" w:themeColor="text1"/>
          <w:spacing w:val="20"/>
          <w:sz w:val="48"/>
          <w:szCs w:val="48"/>
          <w:highlight w:val="none"/>
          <w:lang w:eastAsia="zh-CN"/>
          <w14:textFill>
            <w14:solidFill>
              <w14:schemeClr w14:val="tx1"/>
            </w14:solidFill>
          </w14:textFill>
        </w:rPr>
      </w:pPr>
      <w:r>
        <w:rPr>
          <w:rFonts w:hint="eastAsia" w:eastAsia="方正小标宋简体"/>
          <w:b/>
          <w:bCs/>
          <w:color w:val="000000" w:themeColor="text1"/>
          <w:spacing w:val="20"/>
          <w:sz w:val="48"/>
          <w:szCs w:val="48"/>
          <w:highlight w:val="none"/>
          <w:lang w:eastAsia="zh-CN"/>
          <w14:textFill>
            <w14:solidFill>
              <w14:schemeClr w14:val="tx1"/>
            </w14:solidFill>
          </w14:textFill>
        </w:rPr>
        <w:t>濮</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阳</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市</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华</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龙</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区</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民</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政</w:t>
      </w:r>
      <w:r>
        <w:rPr>
          <w:rFonts w:hint="eastAsia" w:eastAsia="方正小标宋简体"/>
          <w:b/>
          <w:bCs/>
          <w:color w:val="000000" w:themeColor="text1"/>
          <w:spacing w:val="20"/>
          <w:sz w:val="48"/>
          <w:szCs w:val="48"/>
          <w:highlight w:val="none"/>
          <w:lang w:val="en-US" w:eastAsia="zh-CN"/>
          <w14:textFill>
            <w14:solidFill>
              <w14:schemeClr w14:val="tx1"/>
            </w14:solidFill>
          </w14:textFill>
        </w:rPr>
        <w:t xml:space="preserve"> </w:t>
      </w:r>
      <w:r>
        <w:rPr>
          <w:rFonts w:hint="eastAsia" w:eastAsia="方正小标宋简体"/>
          <w:b/>
          <w:bCs/>
          <w:color w:val="000000" w:themeColor="text1"/>
          <w:spacing w:val="20"/>
          <w:sz w:val="48"/>
          <w:szCs w:val="48"/>
          <w:highlight w:val="none"/>
          <w:lang w:eastAsia="zh-CN"/>
          <w14:textFill>
            <w14:solidFill>
              <w14:schemeClr w14:val="tx1"/>
            </w14:solidFill>
          </w14:textFill>
        </w:rPr>
        <w:t>局</w:t>
      </w:r>
    </w:p>
    <w:p>
      <w:pPr>
        <w:spacing w:line="600" w:lineRule="exact"/>
        <w:jc w:val="center"/>
        <w:rPr>
          <w:rFonts w:eastAsia="方正小标宋简体"/>
          <w:color w:val="000000" w:themeColor="text1"/>
          <w:sz w:val="44"/>
          <w:szCs w:val="44"/>
          <w:highlight w:val="none"/>
          <w14:textFill>
            <w14:solidFill>
              <w14:schemeClr w14:val="tx1"/>
            </w14:solidFill>
          </w14:textFill>
        </w:rPr>
      </w:pPr>
    </w:p>
    <w:p>
      <w:pPr>
        <w:jc w:val="center"/>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华龙发改</w:t>
      </w:r>
      <w:r>
        <w:rPr>
          <w:color w:val="000000" w:themeColor="text1"/>
          <w:highlight w:val="none"/>
          <w14:textFill>
            <w14:solidFill>
              <w14:schemeClr w14:val="tx1"/>
            </w14:solidFill>
          </w14:textFill>
        </w:rPr>
        <w:t>〔2020〕</w:t>
      </w:r>
      <w:r>
        <w:rPr>
          <w:rFonts w:hint="eastAsia"/>
          <w:color w:val="000000" w:themeColor="text1"/>
          <w:highlight w:val="none"/>
          <w14:textFill>
            <w14:solidFill>
              <w14:schemeClr w14:val="tx1"/>
            </w14:solidFill>
          </w14:textFill>
        </w:rPr>
        <w:t>74</w:t>
      </w:r>
      <w:r>
        <w:rPr>
          <w:rFonts w:hint="eastAsia"/>
          <w:color w:val="000000" w:themeColor="text1"/>
          <w:highlight w:val="none"/>
          <w:lang w:val="en-US" w:eastAsia="zh-CN"/>
          <w14:textFill>
            <w14:solidFill>
              <w14:schemeClr w14:val="tx1"/>
            </w14:solidFill>
          </w14:textFill>
        </w:rPr>
        <w:t xml:space="preserve"> </w:t>
      </w:r>
      <w:r>
        <w:rPr>
          <w:color w:val="000000" w:themeColor="text1"/>
          <w:highlight w:val="none"/>
          <w14:textFill>
            <w14:solidFill>
              <w14:schemeClr w14:val="tx1"/>
            </w14:solidFill>
          </w14:textFill>
        </w:rPr>
        <w:t>号</w:t>
      </w:r>
    </w:p>
    <w:p>
      <w:pPr>
        <w:spacing w:line="600" w:lineRule="exact"/>
        <w:jc w:val="center"/>
        <w:rPr>
          <w:rFonts w:eastAsia="方正小标宋简体"/>
          <w:color w:val="000000" w:themeColor="text1"/>
          <w:sz w:val="44"/>
          <w:szCs w:val="44"/>
          <w:highlight w:val="none"/>
          <w14:textFill>
            <w14:solidFill>
              <w14:schemeClr w14:val="tx1"/>
            </w14:solidFill>
          </w14:textFill>
        </w:rPr>
      </w:pPr>
      <w:r>
        <w:rPr>
          <w:color w:val="000000" w:themeColor="text1"/>
          <w:sz w:val="64"/>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-6985</wp:posOffset>
                </wp:positionH>
                <wp:positionV relativeFrom="paragraph">
                  <wp:posOffset>159385</wp:posOffset>
                </wp:positionV>
                <wp:extent cx="554609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546090" cy="635"/>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55pt;margin-top:12.55pt;height:0.05pt;width:436.7pt;z-index:251658240;mso-width-relative:page;mso-height-relative:page;" filled="f" stroked="t" coordsize="21600,21600" o:gfxdata="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M4JB92AAAAAgBAAAPAAAAAAAAAAEAIAAAACIAAABkcnMvZG93bnJldi54bWxQ&#10;SwECFAAUAAAACACHTuJAZT2sMPcBAADnAwAADgAAAAAAAAABACAAAAAnAQAAZHJzL2Uyb0RvYy54&#10;bWxQSwUGAAAAAAYABgBZAQAAkAUAAAAA&#10;">
                <v:fill on="f" focussize="0,0"/>
                <v:stroke weight="1.25pt" color="#000000" joinstyle="round"/>
                <v:imagedata o:title=""/>
                <o:lock v:ext="edit" aspectratio="f"/>
              </v:line>
            </w:pict>
          </mc:Fallback>
        </mc:AlternateContent>
      </w:r>
    </w:p>
    <w:p>
      <w:pPr>
        <w:spacing w:line="400" w:lineRule="exact"/>
        <w:jc w:val="center"/>
        <w:rPr>
          <w:rFonts w:eastAsia="方正小标宋简体"/>
          <w:color w:val="000000" w:themeColor="text1"/>
          <w:sz w:val="44"/>
          <w:szCs w:val="44"/>
          <w:highlight w:val="none"/>
          <w14:textFill>
            <w14:solidFill>
              <w14:schemeClr w14:val="tx1"/>
            </w14:solidFill>
          </w14:textFill>
        </w:rPr>
      </w:pPr>
    </w:p>
    <w:p>
      <w:pPr>
        <w:spacing w:line="600" w:lineRule="exact"/>
        <w:jc w:val="center"/>
        <w:rPr>
          <w:rFonts w:hint="eastAsia" w:ascii="新宋体" w:hAnsi="新宋体" w:eastAsia="新宋体" w:cs="新宋体"/>
          <w:b/>
          <w:bCs/>
          <w:color w:val="000000" w:themeColor="text1"/>
          <w:sz w:val="44"/>
          <w:szCs w:val="44"/>
          <w:highlight w:val="none"/>
          <w14:textFill>
            <w14:solidFill>
              <w14:schemeClr w14:val="tx1"/>
            </w14:solidFill>
          </w14:textFill>
        </w:rPr>
      </w:pPr>
      <w:r>
        <w:rPr>
          <w:rFonts w:hint="eastAsia" w:ascii="新宋体" w:hAnsi="新宋体" w:eastAsia="新宋体" w:cs="新宋体"/>
          <w:b/>
          <w:bCs/>
          <w:color w:val="000000" w:themeColor="text1"/>
          <w:sz w:val="44"/>
          <w:szCs w:val="44"/>
          <w:highlight w:val="none"/>
          <w14:textFill>
            <w14:solidFill>
              <w14:schemeClr w14:val="tx1"/>
            </w14:solidFill>
          </w14:textFill>
        </w:rPr>
        <w:t>关于</w:t>
      </w:r>
      <w:r>
        <w:rPr>
          <w:rFonts w:hint="eastAsia" w:ascii="新宋体" w:hAnsi="新宋体" w:eastAsia="新宋体" w:cs="新宋体"/>
          <w:b/>
          <w:bCs/>
          <w:color w:val="000000" w:themeColor="text1"/>
          <w:sz w:val="44"/>
          <w:szCs w:val="44"/>
          <w:highlight w:val="none"/>
          <w:lang w:eastAsia="zh-CN"/>
          <w14:textFill>
            <w14:solidFill>
              <w14:schemeClr w14:val="tx1"/>
            </w14:solidFill>
          </w14:textFill>
        </w:rPr>
        <w:t>转发</w:t>
      </w:r>
      <w:r>
        <w:rPr>
          <w:rFonts w:hint="eastAsia" w:ascii="新宋体" w:hAnsi="新宋体" w:eastAsia="新宋体" w:cs="新宋体"/>
          <w:b/>
          <w:bCs/>
          <w:color w:val="000000" w:themeColor="text1"/>
          <w:sz w:val="44"/>
          <w:szCs w:val="44"/>
          <w:highlight w:val="none"/>
          <w14:textFill>
            <w14:solidFill>
              <w14:schemeClr w14:val="tx1"/>
            </w14:solidFill>
          </w14:textFill>
        </w:rPr>
        <w:t>《濮阳市全面推开行业协会商会与行政机关脱钩工作方案》的通知</w:t>
      </w:r>
    </w:p>
    <w:p>
      <w:pPr>
        <w:jc w:val="center"/>
        <w:rPr>
          <w:rFonts w:eastAsia="楷体_GB2312"/>
          <w:color w:val="000000" w:themeColor="text1"/>
          <w:highlight w:val="none"/>
          <w14:textFill>
            <w14:solidFill>
              <w14:schemeClr w14:val="tx1"/>
            </w14:solidFill>
          </w14:textFill>
        </w:rPr>
      </w:pPr>
    </w:p>
    <w:p>
      <w:pPr>
        <w:spacing w:line="600" w:lineRule="exact"/>
        <w:rPr>
          <w:color w:val="000000" w:themeColor="text1"/>
          <w:szCs w:val="32"/>
          <w:highlight w:val="none"/>
          <w14:textFill>
            <w14:solidFill>
              <w14:schemeClr w14:val="tx1"/>
            </w14:solidFill>
          </w14:textFill>
        </w:rPr>
      </w:pPr>
      <w:r>
        <w:rPr>
          <w:color w:val="000000" w:themeColor="text1"/>
          <w:szCs w:val="32"/>
          <w:highlight w:val="none"/>
          <w14:textFill>
            <w14:solidFill>
              <w14:schemeClr w14:val="tx1"/>
            </w14:solidFill>
          </w14:textFill>
        </w:rPr>
        <w:t>各</w:t>
      </w:r>
      <w:r>
        <w:rPr>
          <w:rFonts w:hint="eastAsia"/>
          <w:color w:val="000000" w:themeColor="text1"/>
          <w:szCs w:val="32"/>
          <w:highlight w:val="none"/>
          <w:lang w:eastAsia="zh-CN"/>
          <w14:textFill>
            <w14:solidFill>
              <w14:schemeClr w14:val="tx1"/>
            </w14:solidFill>
          </w14:textFill>
        </w:rPr>
        <w:t>全区</w:t>
      </w:r>
      <w:r>
        <w:rPr>
          <w:color w:val="000000" w:themeColor="text1"/>
          <w:szCs w:val="32"/>
          <w:highlight w:val="none"/>
          <w14:textFill>
            <w14:solidFill>
              <w14:schemeClr w14:val="tx1"/>
            </w14:solidFill>
          </w14:textFill>
        </w:rPr>
        <w:t>行业协会商会业务主管单位，有关全</w:t>
      </w:r>
      <w:r>
        <w:rPr>
          <w:rFonts w:hint="eastAsia"/>
          <w:color w:val="000000" w:themeColor="text1"/>
          <w:szCs w:val="32"/>
          <w:highlight w:val="none"/>
          <w:lang w:eastAsia="zh-CN"/>
          <w14:textFill>
            <w14:solidFill>
              <w14:schemeClr w14:val="tx1"/>
            </w14:solidFill>
          </w14:textFill>
        </w:rPr>
        <w:t>区</w:t>
      </w:r>
      <w:r>
        <w:rPr>
          <w:color w:val="000000" w:themeColor="text1"/>
          <w:szCs w:val="32"/>
          <w:highlight w:val="none"/>
          <w14:textFill>
            <w14:solidFill>
              <w14:schemeClr w14:val="tx1"/>
            </w14:solidFill>
          </w14:textFill>
        </w:rPr>
        <w:t>行业协会商会：</w:t>
      </w:r>
    </w:p>
    <w:p>
      <w:pPr>
        <w:spacing w:line="600" w:lineRule="exact"/>
        <w:ind w:firstLine="640" w:firstLineChars="200"/>
        <w:rPr>
          <w:color w:val="000000" w:themeColor="text1"/>
          <w:szCs w:val="32"/>
          <w:highlight w:val="none"/>
          <w14:textFill>
            <w14:solidFill>
              <w14:schemeClr w14:val="tx1"/>
            </w14:solidFill>
          </w14:textFill>
        </w:rPr>
      </w:pPr>
      <w:r>
        <w:rPr>
          <w:rFonts w:hint="eastAsia"/>
          <w:color w:val="000000" w:themeColor="text1"/>
          <w:szCs w:val="32"/>
          <w:highlight w:val="none"/>
          <w:lang w:eastAsia="zh-CN"/>
          <w14:textFill>
            <w14:solidFill>
              <w14:schemeClr w14:val="tx1"/>
            </w14:solidFill>
          </w14:textFill>
        </w:rPr>
        <w:t>现将</w:t>
      </w:r>
      <w:r>
        <w:rPr>
          <w:color w:val="000000" w:themeColor="text1"/>
          <w:szCs w:val="32"/>
          <w:highlight w:val="none"/>
          <w14:textFill>
            <w14:solidFill>
              <w14:schemeClr w14:val="tx1"/>
            </w14:solidFill>
          </w14:textFill>
        </w:rPr>
        <w:t>《濮阳市全面推开行业协会商会与行政机关脱钩工作方</w:t>
      </w:r>
      <w:r>
        <w:rPr>
          <w:color w:val="000000" w:themeColor="text1"/>
          <w:spacing w:val="-4"/>
          <w:szCs w:val="32"/>
          <w:highlight w:val="none"/>
          <w14:textFill>
            <w14:solidFill>
              <w14:schemeClr w14:val="tx1"/>
            </w14:solidFill>
          </w14:textFill>
        </w:rPr>
        <w:t>案》</w:t>
      </w:r>
      <w:r>
        <w:rPr>
          <w:rFonts w:hint="eastAsia"/>
          <w:color w:val="000000" w:themeColor="text1"/>
          <w:spacing w:val="-4"/>
          <w:szCs w:val="32"/>
          <w:highlight w:val="none"/>
          <w:lang w:eastAsia="zh-CN"/>
          <w14:textFill>
            <w14:solidFill>
              <w14:schemeClr w14:val="tx1"/>
            </w14:solidFill>
          </w14:textFill>
        </w:rPr>
        <w:t>转发</w:t>
      </w:r>
      <w:r>
        <w:rPr>
          <w:color w:val="000000" w:themeColor="text1"/>
          <w:spacing w:val="-4"/>
          <w:szCs w:val="32"/>
          <w:highlight w:val="none"/>
          <w14:textFill>
            <w14:solidFill>
              <w14:schemeClr w14:val="tx1"/>
            </w14:solidFill>
          </w14:textFill>
        </w:rPr>
        <w:t>给你们，请结合实际认真贯彻执行。</w:t>
      </w:r>
    </w:p>
    <w:p>
      <w:pPr>
        <w:spacing w:line="600" w:lineRule="exact"/>
        <w:rPr>
          <w:color w:val="000000" w:themeColor="text1"/>
          <w:szCs w:val="32"/>
          <w:highlight w:val="none"/>
          <w14:textFill>
            <w14:solidFill>
              <w14:schemeClr w14:val="tx1"/>
            </w14:solidFill>
          </w14:textFill>
        </w:rPr>
      </w:pPr>
      <w:r>
        <w:rPr>
          <w:color w:val="000000" w:themeColor="text1"/>
          <w:szCs w:val="32"/>
          <w:highlight w:val="none"/>
          <w14:textFill>
            <w14:solidFill>
              <w14:schemeClr w14:val="tx1"/>
            </w14:solidFill>
          </w14:textFill>
        </w:rPr>
        <w:t> </w:t>
      </w:r>
    </w:p>
    <w:p>
      <w:pPr>
        <w:spacing w:line="600" w:lineRule="exact"/>
        <w:rPr>
          <w:color w:val="000000" w:themeColor="text1"/>
          <w:szCs w:val="32"/>
          <w:highlight w:val="none"/>
          <w14:textFill>
            <w14:solidFill>
              <w14:schemeClr w14:val="tx1"/>
            </w14:solidFill>
          </w14:textFill>
        </w:rPr>
      </w:pPr>
      <w:r>
        <w:rPr>
          <w:color w:val="000000" w:themeColor="text1"/>
          <w:szCs w:val="32"/>
          <w:highlight w:val="none"/>
          <w14:textFill>
            <w14:solidFill>
              <w14:schemeClr w14:val="tx1"/>
            </w14:solidFill>
          </w14:textFill>
        </w:rPr>
        <w:t>  </w:t>
      </w:r>
    </w:p>
    <w:p>
      <w:pPr>
        <w:spacing w:line="600" w:lineRule="exact"/>
        <w:jc w:val="center"/>
        <w:rPr>
          <w:color w:val="000000" w:themeColor="text1"/>
          <w:szCs w:val="32"/>
          <w:highlight w:val="none"/>
          <w14:textFill>
            <w14:solidFill>
              <w14:schemeClr w14:val="tx1"/>
            </w14:solidFill>
          </w14:textFill>
        </w:rPr>
      </w:pPr>
      <w:r>
        <w:rPr>
          <w:color w:val="000000" w:themeColor="text1"/>
          <w:spacing w:val="-20"/>
          <w:szCs w:val="32"/>
          <w:highlight w:val="none"/>
          <w14:textFill>
            <w14:solidFill>
              <w14:schemeClr w14:val="tx1"/>
            </w14:solidFill>
          </w14:textFill>
        </w:rPr>
        <w:t>濮阳市</w:t>
      </w:r>
      <w:r>
        <w:rPr>
          <w:rFonts w:hint="eastAsia"/>
          <w:color w:val="000000" w:themeColor="text1"/>
          <w:spacing w:val="-20"/>
          <w:szCs w:val="32"/>
          <w:highlight w:val="none"/>
          <w:lang w:eastAsia="zh-CN"/>
          <w14:textFill>
            <w14:solidFill>
              <w14:schemeClr w14:val="tx1"/>
            </w14:solidFill>
          </w14:textFill>
        </w:rPr>
        <w:t>华龙区</w:t>
      </w:r>
      <w:r>
        <w:rPr>
          <w:color w:val="000000" w:themeColor="text1"/>
          <w:spacing w:val="-20"/>
          <w:szCs w:val="32"/>
          <w:highlight w:val="none"/>
          <w14:textFill>
            <w14:solidFill>
              <w14:schemeClr w14:val="tx1"/>
            </w14:solidFill>
          </w14:textFill>
        </w:rPr>
        <w:t>发展和改革委员会</w:t>
      </w:r>
      <w:r>
        <w:rPr>
          <w:color w:val="000000" w:themeColor="text1"/>
          <w:szCs w:val="32"/>
          <w:highlight w:val="none"/>
          <w14:textFill>
            <w14:solidFill>
              <w14:schemeClr w14:val="tx1"/>
            </w14:solidFill>
          </w14:textFill>
        </w:rPr>
        <w:t>     濮阳市</w:t>
      </w:r>
      <w:r>
        <w:rPr>
          <w:rFonts w:hint="eastAsia"/>
          <w:color w:val="000000" w:themeColor="text1"/>
          <w:szCs w:val="32"/>
          <w:highlight w:val="none"/>
          <w:lang w:eastAsia="zh-CN"/>
          <w14:textFill>
            <w14:solidFill>
              <w14:schemeClr w14:val="tx1"/>
            </w14:solidFill>
          </w14:textFill>
        </w:rPr>
        <w:t>华龙区</w:t>
      </w:r>
      <w:r>
        <w:rPr>
          <w:color w:val="000000" w:themeColor="text1"/>
          <w:szCs w:val="32"/>
          <w:highlight w:val="none"/>
          <w14:textFill>
            <w14:solidFill>
              <w14:schemeClr w14:val="tx1"/>
            </w14:solidFill>
          </w14:textFill>
        </w:rPr>
        <w:t>民政局</w:t>
      </w:r>
    </w:p>
    <w:p>
      <w:pPr>
        <w:spacing w:line="600" w:lineRule="exact"/>
        <w:jc w:val="center"/>
        <w:rPr>
          <w:color w:val="000000" w:themeColor="text1"/>
          <w:szCs w:val="32"/>
          <w:highlight w:val="none"/>
          <w14:textFill>
            <w14:solidFill>
              <w14:schemeClr w14:val="tx1"/>
            </w14:solidFill>
          </w14:textFill>
        </w:rPr>
      </w:pPr>
      <w:r>
        <w:rPr>
          <w:color w:val="000000" w:themeColor="text1"/>
          <w:szCs w:val="32"/>
          <w:highlight w:val="none"/>
          <w14:textFill>
            <w14:solidFill>
              <w14:schemeClr w14:val="tx1"/>
            </w14:solidFill>
          </w14:textFill>
        </w:rPr>
        <w:t xml:space="preserve">                                   2020年</w:t>
      </w:r>
      <w:r>
        <w:rPr>
          <w:rFonts w:hint="eastAsia"/>
          <w:color w:val="000000" w:themeColor="text1"/>
          <w:szCs w:val="32"/>
          <w:highlight w:val="none"/>
          <w:lang w:val="en-US" w:eastAsia="zh-CN"/>
          <w14:textFill>
            <w14:solidFill>
              <w14:schemeClr w14:val="tx1"/>
            </w14:solidFill>
          </w14:textFill>
        </w:rPr>
        <w:t>7</w:t>
      </w:r>
      <w:r>
        <w:rPr>
          <w:color w:val="000000" w:themeColor="text1"/>
          <w:szCs w:val="32"/>
          <w:highlight w:val="none"/>
          <w14:textFill>
            <w14:solidFill>
              <w14:schemeClr w14:val="tx1"/>
            </w14:solidFill>
          </w14:textFill>
        </w:rPr>
        <w:t>月23日</w:t>
      </w:r>
    </w:p>
    <w:p>
      <w:pPr>
        <w:spacing w:line="600" w:lineRule="exact"/>
        <w:jc w:val="center"/>
        <w:rPr>
          <w:rFonts w:eastAsia="方正小标宋简体"/>
          <w:color w:val="000000" w:themeColor="text1"/>
          <w:sz w:val="44"/>
          <w:szCs w:val="44"/>
          <w:highlight w:val="none"/>
          <w14:textFill>
            <w14:solidFill>
              <w14:schemeClr w14:val="tx1"/>
            </w14:solidFill>
          </w14:textFill>
        </w:rPr>
      </w:pPr>
    </w:p>
    <w:p>
      <w:pPr>
        <w:spacing w:line="600" w:lineRule="exact"/>
        <w:jc w:val="center"/>
        <w:rPr>
          <w:rFonts w:eastAsia="方正小标宋简体"/>
          <w:color w:val="000000" w:themeColor="text1"/>
          <w:sz w:val="44"/>
          <w:szCs w:val="44"/>
          <w:highlight w:val="none"/>
          <w14:textFill>
            <w14:solidFill>
              <w14:schemeClr w14:val="tx1"/>
            </w14:solidFill>
          </w14:textFill>
        </w:rPr>
      </w:pPr>
    </w:p>
    <w:p>
      <w:pPr>
        <w:spacing w:line="600" w:lineRule="exact"/>
        <w:jc w:val="center"/>
        <w:rPr>
          <w:rFonts w:eastAsia="方正小标宋简体"/>
          <w:color w:val="000000" w:themeColor="text1"/>
          <w:sz w:val="44"/>
          <w:szCs w:val="44"/>
          <w:highlight w:val="none"/>
          <w14:textFill>
            <w14:solidFill>
              <w14:schemeClr w14:val="tx1"/>
            </w14:solidFill>
          </w14:textFill>
        </w:rPr>
      </w:pPr>
    </w:p>
    <w:p>
      <w:pPr>
        <w:spacing w:line="600" w:lineRule="exact"/>
        <w:jc w:val="center"/>
        <w:rPr>
          <w:rFonts w:eastAsia="方正小标宋简体"/>
          <w:color w:val="000000" w:themeColor="text1"/>
          <w:sz w:val="44"/>
          <w:szCs w:val="44"/>
          <w:highlight w:val="none"/>
          <w14:textFill>
            <w14:solidFill>
              <w14:schemeClr w14:val="tx1"/>
            </w14:solidFill>
          </w14:textFill>
        </w:rPr>
      </w:pPr>
    </w:p>
    <w:p>
      <w:pPr>
        <w:spacing w:line="600" w:lineRule="exact"/>
        <w:jc w:val="center"/>
        <w:rPr>
          <w:rFonts w:hint="eastAsia" w:ascii="新宋体" w:hAnsi="新宋体" w:eastAsia="新宋体" w:cs="新宋体"/>
          <w:b/>
          <w:bCs/>
          <w:color w:val="000000" w:themeColor="text1"/>
          <w:sz w:val="44"/>
          <w:szCs w:val="44"/>
          <w:highlight w:val="none"/>
          <w14:textFill>
            <w14:solidFill>
              <w14:schemeClr w14:val="tx1"/>
            </w14:solidFill>
          </w14:textFill>
        </w:rPr>
      </w:pPr>
    </w:p>
    <w:p>
      <w:pPr>
        <w:spacing w:line="600" w:lineRule="exact"/>
        <w:jc w:val="center"/>
        <w:rPr>
          <w:rFonts w:hint="eastAsia" w:ascii="新宋体" w:hAnsi="新宋体" w:eastAsia="新宋体" w:cs="新宋体"/>
          <w:b/>
          <w:bCs/>
          <w:color w:val="000000" w:themeColor="text1"/>
          <w:sz w:val="44"/>
          <w:szCs w:val="44"/>
          <w:highlight w:val="none"/>
          <w14:textFill>
            <w14:solidFill>
              <w14:schemeClr w14:val="tx1"/>
            </w14:solidFill>
          </w14:textFill>
        </w:rPr>
      </w:pPr>
      <w:r>
        <w:rPr>
          <w:rFonts w:hint="eastAsia" w:ascii="新宋体" w:hAnsi="新宋体" w:eastAsia="新宋体" w:cs="新宋体"/>
          <w:b/>
          <w:bCs/>
          <w:color w:val="000000" w:themeColor="text1"/>
          <w:sz w:val="44"/>
          <w:szCs w:val="44"/>
          <w:highlight w:val="none"/>
          <w14:textFill>
            <w14:solidFill>
              <w14:schemeClr w14:val="tx1"/>
            </w14:solidFill>
          </w14:textFill>
        </w:rPr>
        <w:t>濮阳市全面推开行业协会商会与</w:t>
      </w:r>
    </w:p>
    <w:p>
      <w:pPr>
        <w:spacing w:line="600" w:lineRule="exact"/>
        <w:jc w:val="center"/>
        <w:rPr>
          <w:rFonts w:hint="eastAsia" w:ascii="新宋体" w:hAnsi="新宋体" w:eastAsia="新宋体" w:cs="新宋体"/>
          <w:b/>
          <w:bCs/>
          <w:color w:val="000000" w:themeColor="text1"/>
          <w:sz w:val="44"/>
          <w:szCs w:val="44"/>
          <w:highlight w:val="none"/>
          <w14:textFill>
            <w14:solidFill>
              <w14:schemeClr w14:val="tx1"/>
            </w14:solidFill>
          </w14:textFill>
        </w:rPr>
      </w:pPr>
      <w:r>
        <w:rPr>
          <w:rFonts w:hint="eastAsia" w:ascii="新宋体" w:hAnsi="新宋体" w:eastAsia="新宋体" w:cs="新宋体"/>
          <w:b/>
          <w:bCs/>
          <w:color w:val="000000" w:themeColor="text1"/>
          <w:sz w:val="44"/>
          <w:szCs w:val="44"/>
          <w:highlight w:val="none"/>
          <w14:textFill>
            <w14:solidFill>
              <w14:schemeClr w14:val="tx1"/>
            </w14:solidFill>
          </w14:textFill>
        </w:rPr>
        <w:t>行政机关脱钩工作方案</w:t>
      </w:r>
    </w:p>
    <w:p>
      <w:pPr>
        <w:spacing w:line="600" w:lineRule="exact"/>
        <w:jc w:val="center"/>
        <w:rPr>
          <w:rFonts w:hint="eastAsia" w:ascii="新宋体" w:hAnsi="新宋体" w:eastAsia="新宋体" w:cs="新宋体"/>
          <w:b/>
          <w:bCs/>
          <w:color w:val="000000" w:themeColor="text1"/>
          <w:sz w:val="44"/>
          <w:szCs w:val="44"/>
          <w:highlight w:val="none"/>
          <w14:textFill>
            <w14:solidFill>
              <w14:schemeClr w14:val="tx1"/>
            </w14:solidFill>
          </w14:textFill>
        </w:rPr>
      </w:pP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根据国家发展改革委等部门《关于全面推开行业协会商会与行政机关脱钩改革的实施意见》（发改经体〔2019〕1063号，以下简称《实施意见》）和省发展改革委、民政厅《河南省全面推开行业协会商会与行政机关脱钩工作方案》（豫发改体改〔2020〕234号</w:t>
      </w:r>
      <w:r>
        <w:rPr>
          <w:rFonts w:hint="eastAsia"/>
          <w:color w:val="000000" w:themeColor="text1"/>
          <w:highlight w:val="none"/>
          <w:lang w:val="en-US" w:eastAsia="zh-CN"/>
          <w14:textFill>
            <w14:solidFill>
              <w14:schemeClr w14:val="tx1"/>
            </w14:solidFill>
          </w14:textFill>
        </w:rPr>
        <w:t>）</w:t>
      </w:r>
      <w:r>
        <w:rPr>
          <w:color w:val="000000" w:themeColor="text1"/>
          <w:highlight w:val="none"/>
          <w14:textFill>
            <w14:solidFill>
              <w14:schemeClr w14:val="tx1"/>
            </w14:solidFill>
          </w14:textFill>
        </w:rPr>
        <w:t>，以下简称《工作方案》）精神，结合我市实际，制定本工作方案。</w:t>
      </w:r>
    </w:p>
    <w:p>
      <w:pPr>
        <w:spacing w:line="600" w:lineRule="exact"/>
        <w:ind w:firstLine="640" w:firstLineChars="200"/>
        <w:rPr>
          <w:rFonts w:eastAsia="黑体"/>
          <w:color w:val="000000" w:themeColor="text1"/>
          <w:highlight w:val="none"/>
          <w14:textFill>
            <w14:solidFill>
              <w14:schemeClr w14:val="tx1"/>
            </w14:solidFill>
          </w14:textFill>
        </w:rPr>
      </w:pPr>
      <w:r>
        <w:rPr>
          <w:rFonts w:eastAsia="黑体"/>
          <w:color w:val="000000" w:themeColor="text1"/>
          <w:highlight w:val="none"/>
          <w14:textFill>
            <w14:solidFill>
              <w14:schemeClr w14:val="tx1"/>
            </w14:solidFill>
          </w14:textFill>
        </w:rPr>
        <w:t>一、改革主体和范围</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脱钩的主体是各级行政机关与其主办、主管、联系、挂靠的行业协会商会。其他列入公务员法实施范围和参照公务员法管理的单位与其主办、主管、联系、挂靠的行业协会商会，参照本方案执行。</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同时具有以下特征的行业协会商会纳入脱钩范围：会员主体为从事相同性质经济活动的单位、同业人员，或同地域的经济组织；名称以“行业协会”、“协会”、“商会”、“同业公会”、“联</w:t>
      </w:r>
      <w:r>
        <w:rPr>
          <w:color w:val="000000" w:themeColor="text1"/>
          <w:spacing w:val="4"/>
          <w:highlight w:val="none"/>
          <w14:textFill>
            <w14:solidFill>
              <w14:schemeClr w14:val="tx1"/>
            </w14:solidFill>
          </w14:textFill>
        </w:rPr>
        <w:t>合会”、“促进会”等字样为后缀；在民政部门登记为社会团体法人。</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列入脱钩名单的全市性行业协会商会，必须按规定要求和时限完成脱钩。暂未列入脱钩名单的全市性行业协会商会，暂时实行业务主管单位和登记管理机关双重管理，同时按照去行政化的要求，加快推进相关改革。</w:t>
      </w:r>
    </w:p>
    <w:p>
      <w:pPr>
        <w:spacing w:line="600" w:lineRule="exact"/>
        <w:ind w:firstLine="640" w:firstLineChars="200"/>
        <w:rPr>
          <w:rFonts w:eastAsia="黑体"/>
          <w:color w:val="000000" w:themeColor="text1"/>
          <w:highlight w:val="none"/>
          <w14:textFill>
            <w14:solidFill>
              <w14:schemeClr w14:val="tx1"/>
            </w14:solidFill>
          </w14:textFill>
        </w:rPr>
      </w:pPr>
      <w:r>
        <w:rPr>
          <w:rFonts w:eastAsia="黑体"/>
          <w:color w:val="000000" w:themeColor="text1"/>
          <w:highlight w:val="none"/>
          <w14:textFill>
            <w14:solidFill>
              <w14:schemeClr w14:val="tx1"/>
            </w14:solidFill>
          </w14:textFill>
        </w:rPr>
        <w:t>二、改革具体任务</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按照《实施意见》《工作方案》要求，我市拟于2020年9月底前完成全市性行业协会商会与行政机关脱钩改革任务。</w:t>
      </w:r>
      <w:r>
        <w:rPr>
          <w:b/>
          <w:bCs/>
          <w:color w:val="000000" w:themeColor="text1"/>
          <w:highlight w:val="none"/>
          <w14:textFill>
            <w14:solidFill>
              <w14:schemeClr w14:val="tx1"/>
            </w14:solidFill>
          </w14:textFill>
        </w:rPr>
        <w:t>一是机构分离。</w:t>
      </w:r>
      <w:r>
        <w:rPr>
          <w:color w:val="000000" w:themeColor="text1"/>
          <w:highlight w:val="none"/>
          <w14:textFill>
            <w14:solidFill>
              <w14:schemeClr w14:val="tx1"/>
            </w14:solidFill>
          </w14:textFill>
        </w:rPr>
        <w:t>取消业务主管单位与行业协会商会的主办、主管、挂靠、联系关系，不得合署办公。</w:t>
      </w:r>
      <w:r>
        <w:rPr>
          <w:b/>
          <w:bCs/>
          <w:color w:val="000000" w:themeColor="text1"/>
          <w:highlight w:val="none"/>
          <w14:textFill>
            <w14:solidFill>
              <w14:schemeClr w14:val="tx1"/>
            </w14:solidFill>
          </w14:textFill>
        </w:rPr>
        <w:t>二是职能分离。</w:t>
      </w:r>
      <w:r>
        <w:rPr>
          <w:color w:val="000000" w:themeColor="text1"/>
          <w:highlight w:val="none"/>
          <w14:textFill>
            <w14:solidFill>
              <w14:schemeClr w14:val="tx1"/>
            </w14:solidFill>
          </w14:textFill>
        </w:rPr>
        <w:t>厘清行政机关与行业协会商会的职能，剥离行业协会商会现有行政职能，行政机关不得将其法定职能转移或委托给行业协会商会行使。鼓励行政机关向符合条件的行业协会商会和其他社会力量购买服务。</w:t>
      </w:r>
      <w:r>
        <w:rPr>
          <w:b/>
          <w:bCs/>
          <w:color w:val="000000" w:themeColor="text1"/>
          <w:highlight w:val="none"/>
          <w14:textFill>
            <w14:solidFill>
              <w14:schemeClr w14:val="tx1"/>
            </w14:solidFill>
          </w14:textFill>
        </w:rPr>
        <w:t>三是资产财务分离。</w:t>
      </w:r>
      <w:r>
        <w:rPr>
          <w:color w:val="000000" w:themeColor="text1"/>
          <w:highlight w:val="none"/>
          <w14:textFill>
            <w14:solidFill>
              <w14:schemeClr w14:val="tx1"/>
            </w14:solidFill>
          </w14:textFill>
        </w:rPr>
        <w:t>行业协会商会执行民间非营利组织会计制度，单独建账，独立核算。业务主管单位负责对其主管的行业协会商会资产财务进行全面摸底和清查登记。</w:t>
      </w:r>
      <w:r>
        <w:rPr>
          <w:b/>
          <w:bCs/>
          <w:color w:val="000000" w:themeColor="text1"/>
          <w:highlight w:val="none"/>
          <w14:textFill>
            <w14:solidFill>
              <w14:schemeClr w14:val="tx1"/>
            </w14:solidFill>
          </w14:textFill>
        </w:rPr>
        <w:t>四是人员管理分离。</w:t>
      </w:r>
      <w:r>
        <w:rPr>
          <w:color w:val="000000" w:themeColor="text1"/>
          <w:highlight w:val="none"/>
          <w14:textFill>
            <w14:solidFill>
              <w14:schemeClr w14:val="tx1"/>
            </w14:solidFill>
          </w14:textFill>
        </w:rPr>
        <w:t>行业协会商会在人员管理上与业务主管单位脱钩，对在行业协会商会中兼职任职的领导干部、公务员按规定清理规范。</w:t>
      </w:r>
      <w:r>
        <w:rPr>
          <w:b/>
          <w:bCs/>
          <w:color w:val="000000" w:themeColor="text1"/>
          <w:highlight w:val="none"/>
          <w14:textFill>
            <w14:solidFill>
              <w14:schemeClr w14:val="tx1"/>
            </w14:solidFill>
          </w14:textFill>
        </w:rPr>
        <w:t>五是党建外事等事项分离。</w:t>
      </w:r>
      <w:r>
        <w:rPr>
          <w:color w:val="000000" w:themeColor="text1"/>
          <w:highlight w:val="none"/>
          <w14:textFill>
            <w14:solidFill>
              <w14:schemeClr w14:val="tx1"/>
            </w14:solidFill>
          </w14:textFill>
        </w:rPr>
        <w:t>脱钩后的党建工作由各地党委成立的社会组织党建工作机构统一领导。外事工作按照中央有关外事管理规定，由所在地政府外事工作机构管理。</w:t>
      </w:r>
    </w:p>
    <w:p>
      <w:pPr>
        <w:spacing w:line="600" w:lineRule="exact"/>
        <w:ind w:firstLine="640" w:firstLineChars="200"/>
        <w:rPr>
          <w:rFonts w:eastAsia="黑体"/>
          <w:color w:val="000000" w:themeColor="text1"/>
          <w:highlight w:val="none"/>
          <w14:textFill>
            <w14:solidFill>
              <w14:schemeClr w14:val="tx1"/>
            </w14:solidFill>
          </w14:textFill>
        </w:rPr>
      </w:pPr>
      <w:r>
        <w:rPr>
          <w:rFonts w:eastAsia="黑体"/>
          <w:color w:val="000000" w:themeColor="text1"/>
          <w:highlight w:val="none"/>
          <w14:textFill>
            <w14:solidFill>
              <w14:schemeClr w14:val="tx1"/>
            </w14:solidFill>
          </w14:textFill>
        </w:rPr>
        <w:t>三、改革责任分工</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市发展改革委负责统筹协调全市脱钩工作，督促落实工作方案，做好与联合工作组各成员单位的沟通协调。会同市民政局对全市脱钩工作进展情况进行督查督办。</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市民政局负责对拟脱钩行业协会商会进行专题培训，政策解读，建立工作台账。同时对拟脱钩行业协会商会的脱钩方案及相关材料进行初审，报市政府（脱钩联合工作组）批复。</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市委组织部会同市民政</w:t>
      </w:r>
      <w:r>
        <w:rPr>
          <w:rFonts w:hint="eastAsia"/>
          <w:color w:val="000000" w:themeColor="text1"/>
          <w:highlight w:val="none"/>
          <w:lang w:eastAsia="zh-CN"/>
          <w14:textFill>
            <w14:solidFill>
              <w14:schemeClr w14:val="tx1"/>
            </w14:solidFill>
          </w14:textFill>
        </w:rPr>
        <w:t>局</w:t>
      </w:r>
      <w:r>
        <w:rPr>
          <w:color w:val="000000" w:themeColor="text1"/>
          <w:highlight w:val="none"/>
          <w14:textFill>
            <w14:solidFill>
              <w14:schemeClr w14:val="tx1"/>
            </w14:solidFill>
          </w14:textFill>
        </w:rPr>
        <w:t>负责全市性行业协会商会的党建工作，继续完善党建工作管理体制和工作机制，进一步扩大党的组织覆盖面和工作覆盖面，指导行业协会商会加强党风廉政建设，督促落实党风廉政建设主体责任和监督责任。</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市委编办会同市财政局、市人力资源社会保障局等有关部门审核各业务主管单位提出的拟脱钩行业协会商会涉及事业机构编制调整意见，按规定程序报批。</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财政局负责在各业务主管单位对其主管的行业协会商会资产状况全面摸底和清查登记基础上进行核实批复；对业务主管单位会同行业协会商会制定的脱钩后行业协会商会国有资产使用方案进行审批；指导各业务主管单位按照《财政部关于加强行业协会商会与行政机关脱钩有关国有资产管理的意见（试行）》《财政部关于实施&lt;财政部关于加强行业协会商会与行政机关脱钩有关国有资产管理的意见（试行）&gt;有关问题的补充通知》《脱钩后行业协会商会资产管理暂行办法》等有关规定，加强行业协会商会脱钩过程中及脱钩后的国有资产管理，确保国有资产的安全与完整，防止国有资产流失。</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市人力资源社会保障局负责督促拟脱钩行业协会商会全面落实工作人员劳动合同制度，足额缴纳养老保险，鼓励行业协会商会建立企业年金制度等工作。</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市事管局负责对全市性行业协会商会目前使用行政机关的各类办公用房进行清查，提出解决方案。</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各业务主管单位作为脱钩工作责任主体，按照“谁主管、谁负责”的原则，指导帮助所属行业协会商会制定脱钩方案，审核后报联合工作组办公室，并负责协调解决脱钩过程中涉及的机</w:t>
      </w:r>
      <w:r>
        <w:rPr>
          <w:color w:val="000000" w:themeColor="text1"/>
          <w:spacing w:val="6"/>
          <w:highlight w:val="none"/>
          <w14:textFill>
            <w14:solidFill>
              <w14:schemeClr w14:val="tx1"/>
            </w14:solidFill>
          </w14:textFill>
        </w:rPr>
        <w:t>构分离、职能分离、资产分离、人员分离、党建外事分离等问题。</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联合工作组其他成员单位按照职责分工，配合做好全市脱钩工作，同时保持与省相关厅委的沟通协调。</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各县（区）脱钩联合工作组要按照《实施意见》《工作方案》要求，结合各自的工作职责，抓好本县（区）的脱钩工作。</w:t>
      </w:r>
    </w:p>
    <w:p>
      <w:pPr>
        <w:spacing w:line="600" w:lineRule="exact"/>
        <w:ind w:firstLine="640" w:firstLineChars="200"/>
        <w:rPr>
          <w:rFonts w:eastAsia="黑体"/>
          <w:color w:val="000000" w:themeColor="text1"/>
          <w:highlight w:val="none"/>
          <w14:textFill>
            <w14:solidFill>
              <w14:schemeClr w14:val="tx1"/>
            </w14:solidFill>
          </w14:textFill>
        </w:rPr>
      </w:pPr>
      <w:r>
        <w:rPr>
          <w:rFonts w:eastAsia="黑体"/>
          <w:color w:val="000000" w:themeColor="text1"/>
          <w:highlight w:val="none"/>
          <w14:textFill>
            <w14:solidFill>
              <w14:schemeClr w14:val="tx1"/>
            </w14:solidFill>
          </w14:textFill>
        </w:rPr>
        <w:t>四、改革进度安排</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2020年6月15日前，省发展改革委、省民政厅根据各业务主管单位建议和省脱钩名单情况，梳理出我市全市性行业协会商会脱钩改革名单，制定《濮阳市全面推开行业协会商会与行政机关脱钩工作方案》，征求脱钩改革联合工作组各成员单位意见，进行修改完善。</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2020年6月底前，市发展改革委、市民政局联合印发《濮阳市全面推开行业协会商会与行政机关脱钩工作方案》，召开各业务主管单位、拟脱钩行业协会商会负责人参加的培训会，部署改革任务，进行政策解读。</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2020年7月15日前，各业务主管单位将其所属的行业协会商会《脱钩方案》和行业协会商会基本情况表填写后报市民政局初审。</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2020年7月底前，市发展改革委、市民政局完成对拟脱钩行业协会商会脱钩方案的批复工作。</w:t>
      </w: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2020年9月底前，各责任单位按照分工完成脱钩任务，全市性行业协会商会基本完成脱钩工作。各县（区）脱钩联合工作组要认真贯彻落实《实施意见》《工作方案》精神，参照全市性行业协会商会脱钩改革完成工作时间表，细化本县（区）脱钩工作方案，确保2020年10月底前全面完成脱钩改革任务。</w:t>
      </w:r>
    </w:p>
    <w:p>
      <w:pPr>
        <w:spacing w:line="600" w:lineRule="exact"/>
        <w:ind w:firstLine="640" w:firstLineChars="200"/>
        <w:rPr>
          <w:rFonts w:eastAsia="黑体"/>
          <w:color w:val="000000" w:themeColor="text1"/>
          <w:highlight w:val="none"/>
          <w14:textFill>
            <w14:solidFill>
              <w14:schemeClr w14:val="tx1"/>
            </w14:solidFill>
          </w14:textFill>
        </w:rPr>
      </w:pPr>
      <w:r>
        <w:rPr>
          <w:rFonts w:eastAsia="黑体"/>
          <w:color w:val="000000" w:themeColor="text1"/>
          <w:highlight w:val="none"/>
          <w14:textFill>
            <w14:solidFill>
              <w14:schemeClr w14:val="tx1"/>
            </w14:solidFill>
          </w14:textFill>
        </w:rPr>
        <w:t>五、改革工作要求</w:t>
      </w:r>
    </w:p>
    <w:p>
      <w:pPr>
        <w:spacing w:line="600" w:lineRule="exact"/>
        <w:ind w:firstLine="640" w:firstLineChars="200"/>
        <w:rPr>
          <w:color w:val="000000" w:themeColor="text1"/>
          <w:highlight w:val="none"/>
          <w14:textFill>
            <w14:solidFill>
              <w14:schemeClr w14:val="tx1"/>
            </w14:solidFill>
          </w14:textFill>
        </w:rPr>
      </w:pPr>
      <w:r>
        <w:rPr>
          <w:rFonts w:hint="eastAsia" w:ascii="楷体_GB2312" w:hAnsi="楷体_GB2312" w:eastAsia="楷体_GB2312" w:cs="楷体_GB2312"/>
          <w:color w:val="000000" w:themeColor="text1"/>
          <w:highlight w:val="none"/>
          <w14:textFill>
            <w14:solidFill>
              <w14:schemeClr w14:val="tx1"/>
            </w14:solidFill>
          </w14:textFill>
        </w:rPr>
        <w:t>（一）强化组织领导。</w:t>
      </w:r>
      <w:r>
        <w:rPr>
          <w:color w:val="000000" w:themeColor="text1"/>
          <w:highlight w:val="none"/>
          <w14:textFill>
            <w14:solidFill>
              <w14:schemeClr w14:val="tx1"/>
            </w14:solidFill>
          </w14:textFill>
        </w:rPr>
        <w:t>各全市性行业协会商会业务主管单位要高度重视，成立脱钩工作机构，明确专人负责，指导本系统的脱钩工作，对涉及多部门的工作，要按照“谁牵头、谁负责”的原则，明确各自职责，形成工作合力。各县（区）脱钩联合工作组要借鉴脱钩试点中积累的经验和作法，按照《实施意见》《工作方案》的要求，全面推开本县（区）行业协会商会脱钩工作，于2020年10月25日前将本地区脱钩工作完成报告向市脱钩联合工作组办公室备案。</w:t>
      </w:r>
    </w:p>
    <w:p>
      <w:pPr>
        <w:spacing w:line="600" w:lineRule="exact"/>
        <w:ind w:firstLine="640" w:firstLineChars="200"/>
        <w:rPr>
          <w:color w:val="000000" w:themeColor="text1"/>
          <w:highlight w:val="none"/>
          <w14:textFill>
            <w14:solidFill>
              <w14:schemeClr w14:val="tx1"/>
            </w14:solidFill>
          </w14:textFill>
        </w:rPr>
      </w:pPr>
      <w:r>
        <w:rPr>
          <w:rFonts w:ascii="楷体_GB2312" w:hAnsi="楷体_GB2312" w:eastAsia="楷体_GB2312" w:cs="楷体_GB2312"/>
          <w:color w:val="000000" w:themeColor="text1"/>
          <w:highlight w:val="none"/>
          <w14:textFill>
            <w14:solidFill>
              <w14:schemeClr w14:val="tx1"/>
            </w14:solidFill>
          </w14:textFill>
        </w:rPr>
        <w:t>（二）抓好贯彻落实。</w:t>
      </w:r>
      <w:r>
        <w:rPr>
          <w:color w:val="000000" w:themeColor="text1"/>
          <w:highlight w:val="none"/>
          <w14:textFill>
            <w14:solidFill>
              <w14:schemeClr w14:val="tx1"/>
            </w14:solidFill>
          </w14:textFill>
        </w:rPr>
        <w:t>各全市性行业协会商会业务主管单位要结合《实施意见》《工作方案》的要求，加强宣传引导，指导本系统拟脱钩行业协会商会，认真制定脱钩方案，细化工作措施。各县（区）脱钩联合工作组办公室要组织有脱钩任务的相关部门深刻领悟脱钩工作精神，摸清本地区拟脱钩行业协会商会的底数，及时协调解决脱钩工作中存在的问题，重大问题及时向本县（区）脱钩联合工作组报告。</w:t>
      </w:r>
    </w:p>
    <w:p>
      <w:pPr>
        <w:spacing w:line="600" w:lineRule="exact"/>
        <w:ind w:firstLine="640" w:firstLineChars="200"/>
        <w:rPr>
          <w:color w:val="000000" w:themeColor="text1"/>
          <w:highlight w:val="none"/>
          <w14:textFill>
            <w14:solidFill>
              <w14:schemeClr w14:val="tx1"/>
            </w14:solidFill>
          </w14:textFill>
        </w:rPr>
      </w:pPr>
      <w:r>
        <w:rPr>
          <w:rFonts w:ascii="楷体_GB2312" w:hAnsi="楷体_GB2312" w:eastAsia="楷体_GB2312" w:cs="楷体_GB2312"/>
          <w:color w:val="000000" w:themeColor="text1"/>
          <w:highlight w:val="none"/>
          <w14:textFill>
            <w14:solidFill>
              <w14:schemeClr w14:val="tx1"/>
            </w14:solidFill>
          </w14:textFill>
        </w:rPr>
        <w:t>（三）加强统筹协调。</w:t>
      </w:r>
      <w:r>
        <w:rPr>
          <w:color w:val="000000" w:themeColor="text1"/>
          <w:highlight w:val="none"/>
          <w14:textFill>
            <w14:solidFill>
              <w14:schemeClr w14:val="tx1"/>
            </w14:solidFill>
          </w14:textFill>
        </w:rPr>
        <w:t>行业协会商会与行政机关脱钩工作涉及面广、情况复杂，社会关注度高。各全市性行业协会商会业务主管单位，各县（区）脱钩联合工作组要坚持底线思维，增强风险意识，做好风险预案，把隐患消除在萌芽状态，确保改革过程中“思想不乱、队伍不散、工作不断”。</w:t>
      </w:r>
    </w:p>
    <w:p>
      <w:pPr>
        <w:spacing w:line="600" w:lineRule="exact"/>
        <w:rPr>
          <w:color w:val="000000" w:themeColor="text1"/>
          <w:highlight w:val="none"/>
          <w14:textFill>
            <w14:solidFill>
              <w14:schemeClr w14:val="tx1"/>
            </w14:solidFill>
          </w14:textFill>
        </w:rPr>
      </w:pPr>
    </w:p>
    <w:p>
      <w:pPr>
        <w:spacing w:line="600" w:lineRule="exact"/>
        <w:ind w:firstLine="640" w:firstLineChars="2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附件：1.濮阳市</w:t>
      </w:r>
      <w:r>
        <w:rPr>
          <w:rFonts w:hint="eastAsia"/>
          <w:color w:val="000000" w:themeColor="text1"/>
          <w:highlight w:val="none"/>
          <w:lang w:eastAsia="zh-CN"/>
          <w14:textFill>
            <w14:solidFill>
              <w14:schemeClr w14:val="tx1"/>
            </w14:solidFill>
          </w14:textFill>
        </w:rPr>
        <w:t>华龙区</w:t>
      </w:r>
      <w:r>
        <w:rPr>
          <w:color w:val="000000" w:themeColor="text1"/>
          <w:highlight w:val="none"/>
          <w14:textFill>
            <w14:solidFill>
              <w14:schemeClr w14:val="tx1"/>
            </w14:solidFill>
          </w14:textFill>
        </w:rPr>
        <w:t>行业协会商会脱钩改革名单</w:t>
      </w:r>
    </w:p>
    <w:p>
      <w:pPr>
        <w:spacing w:line="600" w:lineRule="exact"/>
        <w:ind w:left="640" w:leftChars="200" w:firstLine="960" w:firstLineChars="3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2.</w:t>
      </w:r>
      <w:r>
        <w:rPr>
          <w:rFonts w:hint="eastAsia"/>
          <w:color w:val="000000" w:themeColor="text1"/>
          <w:highlight w:val="none"/>
          <w:lang w:eastAsia="zh-CN"/>
          <w14:textFill>
            <w14:solidFill>
              <w14:schemeClr w14:val="tx1"/>
            </w14:solidFill>
          </w14:textFill>
        </w:rPr>
        <w:t>华龙区</w:t>
      </w:r>
      <w:r>
        <w:rPr>
          <w:color w:val="000000" w:themeColor="text1"/>
          <w:highlight w:val="none"/>
          <w14:textFill>
            <w14:solidFill>
              <w14:schemeClr w14:val="tx1"/>
            </w14:solidFill>
          </w14:textFill>
        </w:rPr>
        <w:t>行业协会商会脱钩单位基本情况表</w:t>
      </w:r>
    </w:p>
    <w:p>
      <w:pPr>
        <w:spacing w:line="600" w:lineRule="exact"/>
        <w:ind w:left="640" w:leftChars="200" w:firstLine="960" w:firstLineChars="3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3.XXX协会脱钩实施方案（模版）</w:t>
      </w:r>
    </w:p>
    <w:p>
      <w:pPr>
        <w:spacing w:line="600" w:lineRule="exact"/>
        <w:ind w:left="640" w:leftChars="200" w:firstLine="960" w:firstLineChars="300"/>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4.</w:t>
      </w:r>
      <w:r>
        <w:rPr>
          <w:rFonts w:hint="eastAsia"/>
          <w:color w:val="000000" w:themeColor="text1"/>
          <w:highlight w:val="none"/>
          <w:lang w:eastAsia="zh-CN"/>
          <w14:textFill>
            <w14:solidFill>
              <w14:schemeClr w14:val="tx1"/>
            </w14:solidFill>
          </w14:textFill>
        </w:rPr>
        <w:t>华龙区</w:t>
      </w:r>
      <w:r>
        <w:rPr>
          <w:color w:val="000000" w:themeColor="text1"/>
          <w:highlight w:val="none"/>
          <w14:textFill>
            <w14:solidFill>
              <w14:schemeClr w14:val="tx1"/>
            </w14:solidFill>
          </w14:textFill>
        </w:rPr>
        <w:t>行业协会商会脱钩单位完成情况表</w:t>
      </w:r>
    </w:p>
    <w:p>
      <w:pPr>
        <w:spacing w:line="600" w:lineRule="exact"/>
        <w:rPr>
          <w:color w:val="000000" w:themeColor="text1"/>
          <w:highlight w:val="none"/>
          <w14:textFill>
            <w14:solidFill>
              <w14:schemeClr w14:val="tx1"/>
            </w14:solidFill>
          </w14:textFill>
        </w:rPr>
      </w:pPr>
    </w:p>
    <w:p>
      <w:pPr>
        <w:spacing w:line="600" w:lineRule="exact"/>
        <w:rPr>
          <w:color w:val="000000" w:themeColor="text1"/>
          <w:highlight w:val="none"/>
          <w14:textFill>
            <w14:solidFill>
              <w14:schemeClr w14:val="tx1"/>
            </w14:solidFill>
          </w14:textFill>
        </w:rPr>
      </w:pPr>
    </w:p>
    <w:p>
      <w:pPr>
        <w:spacing w:line="600" w:lineRule="exact"/>
        <w:rPr>
          <w:color w:val="000000" w:themeColor="text1"/>
          <w:highlight w:val="none"/>
          <w14:textFill>
            <w14:solidFill>
              <w14:schemeClr w14:val="tx1"/>
            </w14:solidFill>
          </w14:textFill>
        </w:rPr>
      </w:pPr>
    </w:p>
    <w:p>
      <w:pPr>
        <w:widowControl/>
        <w:textAlignment w:val="top"/>
        <w:rPr>
          <w:rFonts w:ascii="文星标宋" w:eastAsia="文星标宋"/>
          <w:color w:val="000000" w:themeColor="text1"/>
          <w:kern w:val="0"/>
          <w:sz w:val="29"/>
          <w:szCs w:val="29"/>
          <w:highlight w:val="none"/>
          <w14:textFill>
            <w14:solidFill>
              <w14:schemeClr w14:val="tx1"/>
            </w14:solidFill>
          </w14:textFill>
        </w:rPr>
      </w:pPr>
      <w:r>
        <w:rPr>
          <w:rFonts w:hint="eastAsia" w:ascii="文星标宋" w:eastAsia="文星标宋"/>
          <w:color w:val="000000" w:themeColor="text1"/>
          <w:kern w:val="0"/>
          <w:sz w:val="29"/>
          <w:szCs w:val="29"/>
          <w:highlight w:val="none"/>
          <w14:textFill>
            <w14:solidFill>
              <w14:schemeClr w14:val="tx1"/>
            </w14:solidFill>
          </w14:textFill>
        </w:rPr>
        <w:t xml:space="preserve">  </w:t>
      </w:r>
    </w:p>
    <w:p>
      <w:pPr>
        <w:widowControl/>
        <w:textAlignment w:val="top"/>
        <w:rPr>
          <w:rFonts w:hint="eastAsia" w:ascii="黑体" w:hAnsi="黑体" w:eastAsia="黑体" w:cs="黑体"/>
          <w:color w:val="auto"/>
          <w:kern w:val="0"/>
          <w:szCs w:val="32"/>
          <w:highlight w:val="none"/>
        </w:rPr>
      </w:pPr>
    </w:p>
    <w:p>
      <w:pPr>
        <w:widowControl/>
        <w:textAlignment w:val="top"/>
        <w:rPr>
          <w:rFonts w:hint="eastAsia" w:ascii="黑体" w:hAnsi="黑体" w:eastAsia="黑体" w:cs="黑体"/>
          <w:color w:val="auto"/>
          <w:kern w:val="0"/>
          <w:szCs w:val="32"/>
          <w:highlight w:val="none"/>
        </w:rPr>
      </w:pPr>
    </w:p>
    <w:p>
      <w:pPr>
        <w:widowControl/>
        <w:textAlignment w:val="top"/>
        <w:rPr>
          <w:rFonts w:hint="eastAsia" w:ascii="黑体" w:hAnsi="黑体" w:eastAsia="黑体" w:cs="黑体"/>
          <w:color w:val="auto"/>
          <w:kern w:val="0"/>
          <w:szCs w:val="32"/>
          <w:highlight w:val="none"/>
        </w:rPr>
      </w:pPr>
    </w:p>
    <w:p>
      <w:pPr>
        <w:widowControl/>
        <w:textAlignment w:val="top"/>
        <w:rPr>
          <w:rFonts w:hint="eastAsia" w:ascii="黑体" w:hAnsi="黑体" w:eastAsia="黑体" w:cs="黑体"/>
          <w:color w:val="auto"/>
          <w:kern w:val="0"/>
          <w:szCs w:val="32"/>
          <w:highlight w:val="none"/>
        </w:rPr>
      </w:pPr>
    </w:p>
    <w:p>
      <w:pPr>
        <w:widowControl/>
        <w:textAlignment w:val="top"/>
        <w:rPr>
          <w:rFonts w:hint="eastAsia" w:ascii="黑体" w:hAnsi="黑体" w:eastAsia="黑体" w:cs="黑体"/>
          <w:color w:val="auto"/>
          <w:kern w:val="0"/>
          <w:szCs w:val="32"/>
          <w:highlight w:val="none"/>
        </w:rPr>
      </w:pPr>
    </w:p>
    <w:p>
      <w:pPr>
        <w:widowControl/>
        <w:textAlignment w:val="top"/>
        <w:rPr>
          <w:rFonts w:hint="eastAsia" w:ascii="黑体" w:hAnsi="黑体" w:eastAsia="黑体" w:cs="黑体"/>
          <w:color w:val="auto"/>
          <w:kern w:val="0"/>
          <w:szCs w:val="32"/>
          <w:highlight w:val="none"/>
        </w:rPr>
      </w:pPr>
    </w:p>
    <w:p>
      <w:pPr>
        <w:widowControl/>
        <w:textAlignment w:val="top"/>
        <w:rPr>
          <w:rFonts w:ascii="文星标宋" w:eastAsia="文星标宋"/>
          <w:color w:val="auto"/>
          <w:kern w:val="0"/>
          <w:sz w:val="29"/>
          <w:szCs w:val="29"/>
          <w:highlight w:val="none"/>
        </w:rPr>
      </w:pPr>
      <w:r>
        <w:rPr>
          <w:rFonts w:hint="eastAsia" w:ascii="黑体" w:hAnsi="黑体" w:eastAsia="黑体" w:cs="黑体"/>
          <w:color w:val="auto"/>
          <w:kern w:val="0"/>
          <w:szCs w:val="32"/>
          <w:highlight w:val="none"/>
        </w:rPr>
        <w:t>附件1：</w:t>
      </w:r>
      <w:r>
        <w:rPr>
          <w:rFonts w:hint="eastAsia" w:ascii="文星标宋" w:eastAsia="文星标宋"/>
          <w:color w:val="auto"/>
          <w:kern w:val="0"/>
          <w:sz w:val="29"/>
          <w:szCs w:val="29"/>
          <w:highlight w:val="none"/>
        </w:rPr>
        <w:t xml:space="preserve">   </w:t>
      </w:r>
    </w:p>
    <w:p>
      <w:pPr>
        <w:keepNext w:val="0"/>
        <w:keepLines w:val="0"/>
        <w:pageBreakBefore w:val="0"/>
        <w:widowControl/>
        <w:kinsoku/>
        <w:wordWrap/>
        <w:overflowPunct/>
        <w:topLinePunct w:val="0"/>
        <w:autoSpaceDE/>
        <w:autoSpaceDN/>
        <w:bidi w:val="0"/>
        <w:adjustRightInd/>
        <w:snapToGrid/>
        <w:spacing w:line="800" w:lineRule="exact"/>
        <w:jc w:val="center"/>
        <w:textAlignment w:val="top"/>
        <w:rPr>
          <w:rFonts w:ascii="宋体" w:hAnsi="宋体" w:eastAsia="宋体" w:cs="宋体"/>
          <w:color w:val="auto"/>
          <w:kern w:val="0"/>
          <w:sz w:val="24"/>
          <w:szCs w:val="24"/>
          <w:highlight w:val="none"/>
        </w:rPr>
      </w:pPr>
      <w:r>
        <w:rPr>
          <w:rFonts w:hint="eastAsia" w:ascii="方正小标宋简体" w:hAnsi="方正小标宋简体" w:eastAsia="方正小标宋简体" w:cs="方正小标宋简体"/>
          <w:color w:val="auto"/>
          <w:kern w:val="0"/>
          <w:sz w:val="44"/>
          <w:szCs w:val="44"/>
          <w:highlight w:val="none"/>
          <w:lang w:eastAsia="zh-CN"/>
        </w:rPr>
        <w:t>华龙区</w:t>
      </w:r>
      <w:r>
        <w:rPr>
          <w:rFonts w:hint="eastAsia" w:ascii="方正小标宋简体" w:hAnsi="方正小标宋简体" w:eastAsia="方正小标宋简体" w:cs="方正小标宋简体"/>
          <w:color w:val="auto"/>
          <w:kern w:val="0"/>
          <w:sz w:val="44"/>
          <w:szCs w:val="44"/>
          <w:highlight w:val="none"/>
        </w:rPr>
        <w:t>行业协会商会脱钩改革名单</w:t>
      </w:r>
    </w:p>
    <w:p>
      <w:pPr>
        <w:keepNext w:val="0"/>
        <w:keepLines w:val="0"/>
        <w:pageBreakBefore w:val="0"/>
        <w:widowControl/>
        <w:kinsoku/>
        <w:wordWrap/>
        <w:overflowPunct/>
        <w:topLinePunct w:val="0"/>
        <w:autoSpaceDE/>
        <w:autoSpaceDN/>
        <w:bidi w:val="0"/>
        <w:adjustRightInd/>
        <w:snapToGrid/>
        <w:spacing w:line="800" w:lineRule="exact"/>
        <w:jc w:val="center"/>
        <w:textAlignment w:val="top"/>
        <w:rPr>
          <w:rFonts w:hint="eastAsia" w:ascii="楷体_GB2312" w:hAnsi="楷体_GB2312" w:eastAsia="楷体_GB2312" w:cs="楷体_GB2312"/>
          <w:color w:val="auto"/>
          <w:kern w:val="0"/>
          <w:szCs w:val="21"/>
          <w:highlight w:val="none"/>
        </w:rPr>
      </w:pPr>
    </w:p>
    <w:p>
      <w:pPr>
        <w:widowControl/>
        <w:jc w:val="center"/>
        <w:textAlignment w:val="top"/>
        <w:rPr>
          <w:rFonts w:ascii="楷体_GB2312" w:hAnsi="楷体_GB2312" w:eastAsia="楷体_GB2312" w:cs="楷体_GB2312"/>
          <w:color w:val="auto"/>
          <w:kern w:val="0"/>
          <w:szCs w:val="21"/>
          <w:highlight w:val="none"/>
        </w:rPr>
      </w:pPr>
      <w:r>
        <w:rPr>
          <w:rFonts w:hint="eastAsia" w:ascii="楷体_GB2312" w:hAnsi="楷体_GB2312" w:eastAsia="楷体_GB2312" w:cs="楷体_GB2312"/>
          <w:color w:val="auto"/>
          <w:kern w:val="0"/>
          <w:szCs w:val="21"/>
          <w:highlight w:val="none"/>
        </w:rPr>
        <w:t>（共</w:t>
      </w:r>
      <w:r>
        <w:rPr>
          <w:rFonts w:hint="eastAsia" w:ascii="楷体_GB2312" w:hAnsi="楷体_GB2312" w:eastAsia="楷体_GB2312" w:cs="楷体_GB2312"/>
          <w:color w:val="auto"/>
          <w:kern w:val="0"/>
          <w:szCs w:val="21"/>
          <w:highlight w:val="none"/>
          <w:lang w:val="en-US" w:eastAsia="zh-CN"/>
        </w:rPr>
        <w:t>12</w:t>
      </w:r>
      <w:r>
        <w:rPr>
          <w:rFonts w:hint="eastAsia" w:ascii="楷体_GB2312" w:hAnsi="楷体_GB2312" w:eastAsia="楷体_GB2312" w:cs="楷体_GB2312"/>
          <w:color w:val="auto"/>
          <w:kern w:val="0"/>
          <w:szCs w:val="21"/>
          <w:highlight w:val="none"/>
        </w:rPr>
        <w:t>家，拟脱钩</w:t>
      </w:r>
      <w:r>
        <w:rPr>
          <w:rFonts w:hint="eastAsia" w:ascii="楷体_GB2312" w:hAnsi="楷体_GB2312" w:eastAsia="楷体_GB2312" w:cs="楷体_GB2312"/>
          <w:color w:val="auto"/>
          <w:kern w:val="0"/>
          <w:szCs w:val="21"/>
          <w:highlight w:val="none"/>
          <w:lang w:val="en-US" w:eastAsia="zh-CN"/>
        </w:rPr>
        <w:t>12</w:t>
      </w:r>
      <w:r>
        <w:rPr>
          <w:rFonts w:hint="eastAsia" w:ascii="楷体_GB2312" w:hAnsi="楷体_GB2312" w:eastAsia="楷体_GB2312" w:cs="楷体_GB2312"/>
          <w:color w:val="auto"/>
          <w:kern w:val="0"/>
          <w:szCs w:val="21"/>
          <w:highlight w:val="none"/>
        </w:rPr>
        <w:t>家）</w:t>
      </w:r>
    </w:p>
    <w:tbl>
      <w:tblPr>
        <w:tblStyle w:val="4"/>
        <w:tblW w:w="8477" w:type="dxa"/>
        <w:tblInd w:w="0" w:type="dxa"/>
        <w:shd w:val="clear" w:color="auto" w:fill="auto"/>
        <w:tblLayout w:type="fixed"/>
        <w:tblCellMar>
          <w:top w:w="0" w:type="dxa"/>
          <w:left w:w="0" w:type="dxa"/>
          <w:bottom w:w="0" w:type="dxa"/>
          <w:right w:w="0" w:type="dxa"/>
        </w:tblCellMar>
      </w:tblPr>
      <w:tblGrid>
        <w:gridCol w:w="1065"/>
        <w:gridCol w:w="2985"/>
        <w:gridCol w:w="3345"/>
        <w:gridCol w:w="1082"/>
      </w:tblGrid>
      <w:tr>
        <w:tblPrEx>
          <w:shd w:val="clear" w:color="auto" w:fill="auto"/>
          <w:tblCellMar>
            <w:top w:w="0" w:type="dxa"/>
            <w:left w:w="0" w:type="dxa"/>
            <w:bottom w:w="0" w:type="dxa"/>
            <w:right w:w="0" w:type="dxa"/>
          </w:tblCellMar>
        </w:tblPrEx>
        <w:trPr>
          <w:trHeight w:val="500" w:hRule="atLeast"/>
        </w:trPr>
        <w:tc>
          <w:tcPr>
            <w:tcW w:w="1065" w:type="dxa"/>
            <w:tcBorders>
              <w:top w:val="single" w:color="auto" w:sz="4" w:space="0"/>
              <w:left w:val="single" w:color="auto" w:sz="4" w:space="0"/>
              <w:bottom w:val="single" w:color="auto" w:sz="4" w:space="0"/>
              <w:right w:val="nil"/>
            </w:tcBorders>
            <w:shd w:val="clear" w:color="auto" w:fill="FFFFFF"/>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2985" w:type="dxa"/>
            <w:tcBorders>
              <w:top w:val="single" w:color="auto" w:sz="4" w:space="0"/>
              <w:left w:val="single" w:color="000000" w:sz="4" w:space="0"/>
              <w:bottom w:val="single" w:color="auto" w:sz="4" w:space="0"/>
              <w:right w:val="single" w:color="auto"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机构名称</w:t>
            </w:r>
          </w:p>
        </w:tc>
        <w:tc>
          <w:tcPr>
            <w:tcW w:w="3345" w:type="dxa"/>
            <w:tcBorders>
              <w:top w:val="single" w:color="000000" w:sz="4" w:space="0"/>
              <w:left w:val="single" w:color="auto"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主管机构名称</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500" w:hRule="atLeast"/>
        </w:trPr>
        <w:tc>
          <w:tcPr>
            <w:tcW w:w="1065" w:type="dxa"/>
            <w:tcBorders>
              <w:top w:val="single" w:color="auto"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w:t>
            </w:r>
          </w:p>
        </w:tc>
        <w:tc>
          <w:tcPr>
            <w:tcW w:w="2985" w:type="dxa"/>
            <w:tcBorders>
              <w:top w:val="single" w:color="auto"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濮阳市华龙区太极拳协会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濮阳市华龙区文化广电旅游体育局</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濮阳市华龙区东北庄杂技协会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濮阳市华龙区文化广电旅游体育局</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濮阳市华龙区健身气功协会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濮阳市华龙区文化广电旅游体育局</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濮阳市华龙区岳村乡养猪协会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华龙区科学技术协会</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濮阳市华龙区蜂箱养鸽协会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濮阳市华龙区科协</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濮阳市华龙区翟庄优质蔬菜协会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濮阳市华龙区科协</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濮阳市华龙区惠民种子协会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濮阳市华龙区科协</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濮阳市华龙区葡萄种植协会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濮阳市华龙区科学技术协会</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濮阳市华龙区曲剧协会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濮阳市华龙区文化广电旅游体育局</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p>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濮阳市华龙区京剧协会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濮阳市华龙区文化广电旅游体育局</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11</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0"/>
                <w:szCs w:val="20"/>
                <w:u w:val="none"/>
              </w:rPr>
            </w:pPr>
            <w:r>
              <w:rPr>
                <w:rFonts w:hint="eastAsia" w:ascii="宋体" w:hAnsi="宋体" w:eastAsia="宋体" w:cs="宋体"/>
                <w:b w:val="0"/>
                <w:bCs/>
                <w:i w:val="0"/>
                <w:color w:val="000000"/>
                <w:kern w:val="0"/>
                <w:sz w:val="20"/>
                <w:szCs w:val="20"/>
                <w:u w:val="none"/>
                <w:lang w:val="en-US" w:eastAsia="zh-CN" w:bidi="ar"/>
              </w:rPr>
              <w:t>濮阳市华龙区美术家协会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0"/>
                <w:szCs w:val="20"/>
                <w:u w:val="none"/>
              </w:rPr>
            </w:pPr>
            <w:r>
              <w:rPr>
                <w:rFonts w:hint="eastAsia" w:ascii="宋体" w:hAnsi="宋体" w:eastAsia="宋体" w:cs="宋体"/>
                <w:b w:val="0"/>
                <w:bCs/>
                <w:i w:val="0"/>
                <w:color w:val="000000"/>
                <w:kern w:val="0"/>
                <w:sz w:val="20"/>
                <w:szCs w:val="20"/>
                <w:u w:val="none"/>
                <w:lang w:val="en-US" w:eastAsia="zh-CN" w:bidi="ar"/>
              </w:rPr>
              <w:t>濮阳市华龙区宣传部</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r>
        <w:tblPrEx>
          <w:tblCellMar>
            <w:top w:w="0" w:type="dxa"/>
            <w:left w:w="0" w:type="dxa"/>
            <w:bottom w:w="0" w:type="dxa"/>
            <w:right w:w="0" w:type="dxa"/>
          </w:tblCellMar>
        </w:tblPrEx>
        <w:trPr>
          <w:trHeight w:val="500" w:hRule="atLeast"/>
        </w:trPr>
        <w:tc>
          <w:tcPr>
            <w:tcW w:w="1065"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12</w:t>
            </w:r>
          </w:p>
        </w:tc>
        <w:tc>
          <w:tcPr>
            <w:tcW w:w="29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濮阳市华龙区戏曲文化协会</w:t>
            </w:r>
          </w:p>
        </w:tc>
        <w:tc>
          <w:tcPr>
            <w:tcW w:w="334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濮阳市华龙区总工会</w:t>
            </w:r>
          </w:p>
        </w:tc>
        <w:tc>
          <w:tcPr>
            <w:tcW w:w="108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未脱钩</w:t>
            </w:r>
          </w:p>
        </w:tc>
      </w:tr>
    </w:tbl>
    <w:p>
      <w:pPr>
        <w:spacing w:line="600" w:lineRule="exact"/>
        <w:rPr>
          <w:color w:val="auto"/>
          <w:highlight w:val="none"/>
        </w:rPr>
      </w:pPr>
    </w:p>
    <w:p>
      <w:pPr>
        <w:spacing w:line="600" w:lineRule="exact"/>
        <w:rPr>
          <w:color w:val="auto"/>
          <w:highlight w:val="none"/>
        </w:rPr>
      </w:pPr>
    </w:p>
    <w:p>
      <w:pPr>
        <w:spacing w:line="600" w:lineRule="exact"/>
        <w:rPr>
          <w:color w:val="auto"/>
          <w:highlight w:val="none"/>
        </w:rPr>
      </w:pPr>
    </w:p>
    <w:p>
      <w:pPr>
        <w:spacing w:line="600" w:lineRule="exact"/>
        <w:rPr>
          <w:color w:val="auto"/>
          <w:highlight w:val="none"/>
        </w:rPr>
      </w:pPr>
    </w:p>
    <w:p>
      <w:pPr>
        <w:spacing w:line="600" w:lineRule="exact"/>
        <w:jc w:val="left"/>
        <w:rPr>
          <w:rFonts w:eastAsia="黑体"/>
          <w:bCs/>
          <w:color w:val="auto"/>
          <w:szCs w:val="32"/>
          <w:highlight w:val="none"/>
        </w:rPr>
      </w:pPr>
    </w:p>
    <w:p>
      <w:pPr>
        <w:spacing w:line="600" w:lineRule="exact"/>
        <w:jc w:val="left"/>
        <w:rPr>
          <w:rFonts w:eastAsia="黑体"/>
          <w:bCs/>
          <w:color w:val="auto"/>
          <w:szCs w:val="32"/>
          <w:highlight w:val="none"/>
        </w:rPr>
      </w:pPr>
      <w:r>
        <w:rPr>
          <w:rFonts w:eastAsia="黑体"/>
          <w:bCs/>
          <w:color w:val="auto"/>
          <w:szCs w:val="32"/>
          <w:highlight w:val="none"/>
        </w:rPr>
        <w:t>附件2</w:t>
      </w:r>
    </w:p>
    <w:p>
      <w:pPr>
        <w:spacing w:line="60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lang w:eastAsia="zh-CN"/>
        </w:rPr>
        <w:t>华龙区</w:t>
      </w:r>
      <w:r>
        <w:rPr>
          <w:rFonts w:hint="eastAsia" w:ascii="方正小标宋简体" w:hAnsi="方正小标宋简体" w:eastAsia="方正小标宋简体" w:cs="方正小标宋简体"/>
          <w:bCs/>
          <w:color w:val="auto"/>
          <w:sz w:val="44"/>
          <w:szCs w:val="44"/>
          <w:highlight w:val="none"/>
        </w:rPr>
        <w:t>行业协会商会脱钩单位基本情况表</w:t>
      </w:r>
    </w:p>
    <w:p>
      <w:pPr>
        <w:spacing w:line="460" w:lineRule="exact"/>
        <w:jc w:val="center"/>
        <w:rPr>
          <w:rFonts w:ascii="楷体_GB2312" w:hAnsi="楷体_GB2312" w:eastAsia="楷体_GB2312" w:cs="楷体_GB2312"/>
          <w:bCs/>
          <w:color w:val="auto"/>
          <w:sz w:val="28"/>
          <w:szCs w:val="28"/>
          <w:highlight w:val="none"/>
        </w:rPr>
      </w:pPr>
      <w:r>
        <w:rPr>
          <w:rFonts w:hint="eastAsia" w:ascii="楷体_GB2312" w:hAnsi="楷体_GB2312" w:eastAsia="楷体_GB2312" w:cs="楷体_GB2312"/>
          <w:bCs/>
          <w:color w:val="auto"/>
          <w:sz w:val="28"/>
          <w:szCs w:val="28"/>
          <w:highlight w:val="none"/>
        </w:rPr>
        <w:t>（参加脱钩的全</w:t>
      </w:r>
      <w:r>
        <w:rPr>
          <w:rFonts w:hint="eastAsia" w:ascii="楷体_GB2312" w:hAnsi="楷体_GB2312" w:eastAsia="楷体_GB2312" w:cs="楷体_GB2312"/>
          <w:bCs/>
          <w:color w:val="auto"/>
          <w:sz w:val="28"/>
          <w:szCs w:val="28"/>
          <w:highlight w:val="none"/>
          <w:lang w:eastAsia="zh-CN"/>
        </w:rPr>
        <w:t>区</w:t>
      </w:r>
      <w:r>
        <w:rPr>
          <w:rFonts w:hint="eastAsia" w:ascii="楷体_GB2312" w:hAnsi="楷体_GB2312" w:eastAsia="楷体_GB2312" w:cs="楷体_GB2312"/>
          <w:bCs/>
          <w:color w:val="auto"/>
          <w:sz w:val="28"/>
          <w:szCs w:val="28"/>
          <w:highlight w:val="none"/>
        </w:rPr>
        <w:t>行业协会商会填写、业务主管（指导）单位审核）</w:t>
      </w:r>
    </w:p>
    <w:p>
      <w:pPr>
        <w:spacing w:line="460" w:lineRule="exact"/>
        <w:rPr>
          <w:rFonts w:ascii="仿宋_GB2312" w:hAnsi="仿宋_GB2312" w:cs="仿宋_GB2312"/>
          <w:bCs/>
          <w:color w:val="auto"/>
          <w:sz w:val="28"/>
          <w:szCs w:val="28"/>
          <w:highlight w:val="none"/>
        </w:rPr>
      </w:pPr>
    </w:p>
    <w:p>
      <w:pPr>
        <w:spacing w:line="460" w:lineRule="exact"/>
        <w:rPr>
          <w:rFonts w:ascii="仿宋_GB2312" w:hAnsi="仿宋_GB2312" w:cs="仿宋_GB2312"/>
          <w:bCs/>
          <w:color w:val="auto"/>
          <w:sz w:val="24"/>
          <w:highlight w:val="none"/>
        </w:rPr>
      </w:pPr>
      <w:r>
        <w:rPr>
          <w:rFonts w:hint="eastAsia" w:ascii="仿宋_GB2312" w:hAnsi="仿宋_GB2312" w:cs="仿宋_GB2312"/>
          <w:bCs/>
          <w:color w:val="auto"/>
          <w:spacing w:val="-20"/>
          <w:sz w:val="24"/>
          <w:highlight w:val="none"/>
        </w:rPr>
        <w:t>填表单位（盖章）</w:t>
      </w:r>
      <w:r>
        <w:rPr>
          <w:rFonts w:hint="eastAsia" w:ascii="仿宋_GB2312" w:hAnsi="仿宋_GB2312" w:cs="仿宋_GB2312"/>
          <w:bCs/>
          <w:color w:val="auto"/>
          <w:sz w:val="24"/>
          <w:highlight w:val="none"/>
        </w:rPr>
        <w:t>：</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填表人：</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电话：</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 xml:space="preserve">   </w:t>
      </w:r>
    </w:p>
    <w:p>
      <w:pPr>
        <w:spacing w:line="460" w:lineRule="exact"/>
        <w:jc w:val="left"/>
        <w:rPr>
          <w:rFonts w:ascii="仿宋_GB2312" w:hAnsi="仿宋_GB2312" w:cs="仿宋_GB2312"/>
          <w:bCs/>
          <w:color w:val="auto"/>
          <w:sz w:val="28"/>
          <w:szCs w:val="28"/>
          <w:highlight w:val="none"/>
        </w:rPr>
      </w:pPr>
      <w:r>
        <w:rPr>
          <w:rFonts w:hint="eastAsia" w:ascii="仿宋_GB2312" w:hAnsi="仿宋_GB2312" w:cs="仿宋_GB2312"/>
          <w:bCs/>
          <w:color w:val="auto"/>
          <w:spacing w:val="-30"/>
          <w:sz w:val="24"/>
          <w:highlight w:val="none"/>
        </w:rPr>
        <w:t>业务主管（指导）单位（盖章）：</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联系人：</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电话：</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8"/>
          <w:szCs w:val="28"/>
          <w:highlight w:val="none"/>
          <w:u w:val="single"/>
        </w:rPr>
        <w:t xml:space="preserve">    </w:t>
      </w:r>
      <w:r>
        <w:rPr>
          <w:rFonts w:hint="eastAsia" w:ascii="仿宋_GB2312" w:hAnsi="仿宋_GB2312" w:cs="仿宋_GB2312"/>
          <w:bCs/>
          <w:color w:val="auto"/>
          <w:sz w:val="28"/>
          <w:szCs w:val="28"/>
          <w:highlight w:val="none"/>
        </w:rPr>
        <w:t xml:space="preserve"> </w:t>
      </w:r>
    </w:p>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（一）基本信息</w:t>
      </w:r>
    </w:p>
    <w:tbl>
      <w:tblPr>
        <w:tblStyle w:val="4"/>
        <w:tblpPr w:leftFromText="181" w:rightFromText="181" w:vertAnchor="text" w:tblpXSpec="center" w:tblpY="114"/>
        <w:tblOverlap w:val="never"/>
        <w:tblW w:w="8761" w:type="dxa"/>
        <w:tblInd w:w="51"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2087"/>
        <w:gridCol w:w="1345"/>
        <w:gridCol w:w="942"/>
        <w:gridCol w:w="1632"/>
        <w:gridCol w:w="14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134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名  称</w:t>
            </w:r>
          </w:p>
        </w:tc>
        <w:tc>
          <w:tcPr>
            <w:tcW w:w="2087"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1345"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登记证号</w:t>
            </w:r>
          </w:p>
        </w:tc>
        <w:tc>
          <w:tcPr>
            <w:tcW w:w="942"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1632"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业务主管</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（指导）单位</w:t>
            </w:r>
          </w:p>
        </w:tc>
        <w:tc>
          <w:tcPr>
            <w:tcW w:w="1409"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法定代表人</w:t>
            </w:r>
          </w:p>
        </w:tc>
        <w:tc>
          <w:tcPr>
            <w:tcW w:w="2087"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1345"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理 事 长</w:t>
            </w:r>
          </w:p>
        </w:tc>
        <w:tc>
          <w:tcPr>
            <w:tcW w:w="942"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1632"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秘 书 长</w:t>
            </w:r>
          </w:p>
        </w:tc>
        <w:tc>
          <w:tcPr>
            <w:tcW w:w="1409"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单位会员数</w:t>
            </w:r>
          </w:p>
        </w:tc>
        <w:tc>
          <w:tcPr>
            <w:tcW w:w="2087"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1345"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个人会员数</w:t>
            </w:r>
          </w:p>
        </w:tc>
        <w:tc>
          <w:tcPr>
            <w:tcW w:w="942"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1632"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上年度总收入</w:t>
            </w:r>
          </w:p>
        </w:tc>
        <w:tc>
          <w:tcPr>
            <w:tcW w:w="1409"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46" w:type="dxa"/>
            <w:tcMar>
              <w:left w:w="57" w:type="dxa"/>
              <w:right w:w="57" w:type="dxa"/>
            </w:tcMar>
            <w:vAlign w:val="center"/>
          </w:tcPr>
          <w:p>
            <w:pPr>
              <w:spacing w:line="260" w:lineRule="exact"/>
              <w:ind w:left="64" w:leftChars="20"/>
              <w:jc w:val="center"/>
              <w:rPr>
                <w:rFonts w:ascii="仿宋_GB2312" w:hAnsi="仿宋_GB2312" w:cs="仿宋_GB2312"/>
                <w:color w:val="auto"/>
                <w:spacing w:val="20"/>
                <w:sz w:val="24"/>
                <w:highlight w:val="none"/>
              </w:rPr>
            </w:pPr>
            <w:r>
              <w:rPr>
                <w:rFonts w:hint="eastAsia" w:ascii="仿宋_GB2312" w:hAnsi="仿宋_GB2312" w:cs="仿宋_GB2312"/>
                <w:color w:val="auto"/>
                <w:spacing w:val="20"/>
                <w:sz w:val="24"/>
                <w:highlight w:val="none"/>
              </w:rPr>
              <w:t>住所地址</w:t>
            </w:r>
          </w:p>
        </w:tc>
        <w:tc>
          <w:tcPr>
            <w:tcW w:w="7415" w:type="dxa"/>
            <w:gridSpan w:val="5"/>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（二）机构情况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32"/>
        <w:gridCol w:w="820"/>
        <w:gridCol w:w="56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trPr>
        <w:tc>
          <w:tcPr>
            <w:tcW w:w="2432"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是否是事业单位法人、是否含有事业编制</w:t>
            </w:r>
          </w:p>
        </w:tc>
        <w:tc>
          <w:tcPr>
            <w:tcW w:w="820"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611"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如选是，事业单位类别（      ）事业编制（    ）个。</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32" w:type="dxa"/>
            <w:vMerge w:val="restart"/>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是否与行政机关或者事业单位合署办公</w:t>
            </w:r>
          </w:p>
        </w:tc>
        <w:tc>
          <w:tcPr>
            <w:tcW w:w="820" w:type="dxa"/>
            <w:vMerge w:val="restart"/>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611"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如选是，合署办公单位名称（        ），地址（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432" w:type="dxa"/>
            <w:vMerge w:val="continue"/>
            <w:vAlign w:val="center"/>
          </w:tcPr>
          <w:p>
            <w:pPr>
              <w:spacing w:line="260" w:lineRule="exact"/>
              <w:rPr>
                <w:rFonts w:ascii="仿宋_GB2312" w:hAnsi="仿宋_GB2312" w:cs="仿宋_GB2312"/>
                <w:color w:val="auto"/>
                <w:spacing w:val="-10"/>
                <w:sz w:val="24"/>
                <w:highlight w:val="none"/>
              </w:rPr>
            </w:pPr>
          </w:p>
        </w:tc>
        <w:tc>
          <w:tcPr>
            <w:tcW w:w="820"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11"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如选否，现有住所使用方式为：</w:t>
            </w:r>
          </w:p>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□购买  □租赁  □企业无偿提供  □其他</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（三）职能情况</w:t>
      </w:r>
    </w:p>
    <w:tbl>
      <w:tblPr>
        <w:tblStyle w:val="4"/>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31"/>
        <w:gridCol w:w="823"/>
        <w:gridCol w:w="56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31" w:type="dxa"/>
            <w:vMerge w:val="restart"/>
            <w:vAlign w:val="center"/>
          </w:tcPr>
          <w:p>
            <w:pPr>
              <w:spacing w:line="3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是否履行法律法规规定的职能</w:t>
            </w:r>
          </w:p>
        </w:tc>
        <w:tc>
          <w:tcPr>
            <w:tcW w:w="823" w:type="dxa"/>
            <w:vMerge w:val="restart"/>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如选是，共履行（    ）项职能，分别为：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31" w:type="dxa"/>
            <w:vMerge w:val="continue"/>
            <w:vAlign w:val="center"/>
          </w:tcPr>
          <w:p>
            <w:pPr>
              <w:spacing w:line="260" w:lineRule="exact"/>
              <w:rPr>
                <w:rFonts w:ascii="仿宋_GB2312" w:hAnsi="仿宋_GB2312" w:cs="仿宋_GB2312"/>
                <w:color w:val="auto"/>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31" w:type="dxa"/>
            <w:vMerge w:val="continue"/>
            <w:vAlign w:val="center"/>
          </w:tcPr>
          <w:p>
            <w:pPr>
              <w:spacing w:line="260" w:lineRule="exact"/>
              <w:rPr>
                <w:rFonts w:ascii="仿宋_GB2312" w:hAnsi="仿宋_GB2312" w:cs="仿宋_GB2312"/>
                <w:color w:val="auto"/>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31" w:type="dxa"/>
            <w:vMerge w:val="continue"/>
            <w:vAlign w:val="center"/>
          </w:tcPr>
          <w:p>
            <w:pPr>
              <w:spacing w:line="260" w:lineRule="exact"/>
              <w:rPr>
                <w:rFonts w:ascii="仿宋_GB2312" w:hAnsi="仿宋_GB2312" w:cs="仿宋_GB2312"/>
                <w:color w:val="auto"/>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31" w:type="dxa"/>
            <w:vMerge w:val="continue"/>
            <w:vAlign w:val="center"/>
          </w:tcPr>
          <w:p>
            <w:pPr>
              <w:spacing w:line="260" w:lineRule="exact"/>
              <w:rPr>
                <w:rFonts w:ascii="仿宋_GB2312" w:hAnsi="仿宋_GB2312" w:cs="仿宋_GB2312"/>
                <w:color w:val="auto"/>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31" w:type="dxa"/>
            <w:vMerge w:val="restart"/>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在法律法规规定情形之外是否履行行政职能</w:t>
            </w:r>
          </w:p>
        </w:tc>
        <w:tc>
          <w:tcPr>
            <w:tcW w:w="823" w:type="dxa"/>
            <w:vMerge w:val="restart"/>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如选是，共履行（    ）项行政职能，分别为：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31" w:type="dxa"/>
            <w:vMerge w:val="continue"/>
            <w:vAlign w:val="center"/>
          </w:tcPr>
          <w:p>
            <w:pPr>
              <w:spacing w:line="260" w:lineRule="exact"/>
              <w:rPr>
                <w:rFonts w:ascii="仿宋_GB2312" w:hAnsi="仿宋_GB2312" w:cs="仿宋_GB2312"/>
                <w:color w:val="auto"/>
                <w:spacing w:val="-10"/>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31" w:type="dxa"/>
            <w:vMerge w:val="continue"/>
            <w:vAlign w:val="center"/>
          </w:tcPr>
          <w:p>
            <w:pPr>
              <w:spacing w:line="260" w:lineRule="exact"/>
              <w:rPr>
                <w:rFonts w:ascii="仿宋_GB2312" w:hAnsi="仿宋_GB2312" w:cs="仿宋_GB2312"/>
                <w:color w:val="auto"/>
                <w:spacing w:val="-10"/>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31" w:type="dxa"/>
            <w:vMerge w:val="continue"/>
            <w:vAlign w:val="center"/>
          </w:tcPr>
          <w:p>
            <w:pPr>
              <w:spacing w:line="260" w:lineRule="exact"/>
              <w:rPr>
                <w:rFonts w:ascii="仿宋_GB2312" w:hAnsi="仿宋_GB2312" w:cs="仿宋_GB2312"/>
                <w:color w:val="auto"/>
                <w:spacing w:val="-10"/>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431" w:type="dxa"/>
            <w:vMerge w:val="continue"/>
            <w:vAlign w:val="center"/>
          </w:tcPr>
          <w:p>
            <w:pPr>
              <w:spacing w:line="260" w:lineRule="exact"/>
              <w:rPr>
                <w:rFonts w:ascii="仿宋_GB2312" w:hAnsi="仿宋_GB2312" w:cs="仿宋_GB2312"/>
                <w:color w:val="auto"/>
                <w:spacing w:val="-10"/>
                <w:sz w:val="24"/>
                <w:highlight w:val="none"/>
              </w:rPr>
            </w:pPr>
          </w:p>
        </w:tc>
        <w:tc>
          <w:tcPr>
            <w:tcW w:w="823" w:type="dxa"/>
            <w:vMerge w:val="continue"/>
            <w:vAlign w:val="center"/>
          </w:tcPr>
          <w:p>
            <w:pPr>
              <w:spacing w:line="260" w:lineRule="exact"/>
              <w:jc w:val="center"/>
              <w:rPr>
                <w:rFonts w:ascii="仿宋_GB2312" w:hAnsi="仿宋_GB2312" w:cs="仿宋_GB2312"/>
                <w:color w:val="auto"/>
                <w:spacing w:val="-10"/>
                <w:sz w:val="24"/>
                <w:highlight w:val="none"/>
              </w:rPr>
            </w:pPr>
          </w:p>
        </w:tc>
        <w:tc>
          <w:tcPr>
            <w:tcW w:w="560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（四）资产财务情况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756"/>
        <w:gridCol w:w="55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执行会计制度情况</w:t>
            </w:r>
          </w:p>
        </w:tc>
        <w:tc>
          <w:tcPr>
            <w:tcW w:w="6309" w:type="dxa"/>
            <w:gridSpan w:val="2"/>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□《民间非营利组织会计制度》  □其他会计制度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Merge w:val="restart"/>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银行账户是否独立</w:t>
            </w:r>
          </w:p>
        </w:tc>
        <w:tc>
          <w:tcPr>
            <w:tcW w:w="756" w:type="dxa"/>
            <w:vMerge w:val="restart"/>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53"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如选是，开户行、开户名称及账号：（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Merge w:val="continue"/>
            <w:vAlign w:val="center"/>
          </w:tcPr>
          <w:p>
            <w:pPr>
              <w:spacing w:line="260" w:lineRule="exact"/>
              <w:rPr>
                <w:rFonts w:ascii="仿宋_GB2312" w:hAnsi="仿宋_GB2312" w:cs="仿宋_GB2312"/>
                <w:color w:val="auto"/>
                <w:spacing w:val="-10"/>
                <w:sz w:val="24"/>
                <w:highlight w:val="none"/>
              </w:rPr>
            </w:pPr>
          </w:p>
        </w:tc>
        <w:tc>
          <w:tcPr>
            <w:tcW w:w="756" w:type="dxa"/>
            <w:vMerge w:val="continue"/>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p>
        </w:tc>
        <w:tc>
          <w:tcPr>
            <w:tcW w:w="5553"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如选否，与何单位共用（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554"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是否单独建账、独立</w:t>
            </w:r>
          </w:p>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核算、有无专职出纳</w:t>
            </w:r>
          </w:p>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会计人员</w:t>
            </w:r>
          </w:p>
        </w:tc>
        <w:tc>
          <w:tcPr>
            <w:tcW w:w="75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53"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如选否，账务挂靠在何单位（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54"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是否有财政预算资金</w:t>
            </w:r>
          </w:p>
        </w:tc>
        <w:tc>
          <w:tcPr>
            <w:tcW w:w="75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53"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如选是，本年度财政直接拨款（      ）万元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54" w:type="dxa"/>
            <w:vAlign w:val="center"/>
          </w:tcPr>
          <w:p>
            <w:pPr>
              <w:spacing w:line="260" w:lineRule="exact"/>
              <w:rPr>
                <w:rFonts w:ascii="仿宋_GB2312" w:hAnsi="仿宋_GB2312" w:cs="仿宋_GB2312"/>
                <w:color w:val="auto"/>
                <w:spacing w:val="-20"/>
                <w:sz w:val="24"/>
                <w:highlight w:val="none"/>
              </w:rPr>
            </w:pPr>
            <w:r>
              <w:rPr>
                <w:rFonts w:hint="eastAsia" w:ascii="仿宋_GB2312" w:hAnsi="仿宋_GB2312" w:cs="仿宋_GB2312"/>
                <w:color w:val="auto"/>
                <w:spacing w:val="-20"/>
                <w:sz w:val="24"/>
                <w:highlight w:val="none"/>
              </w:rPr>
              <w:t>是否有安置历次政府机构</w:t>
            </w:r>
          </w:p>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20"/>
                <w:sz w:val="24"/>
                <w:highlight w:val="none"/>
              </w:rPr>
              <w:t>改革分流人员的财政资金</w:t>
            </w:r>
          </w:p>
        </w:tc>
        <w:tc>
          <w:tcPr>
            <w:tcW w:w="75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53"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如选是，分流人员数量（   ）人，上年度安置分流人员财政资金（    ）万元。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554"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是否使用行政办公用房</w:t>
            </w:r>
          </w:p>
        </w:tc>
        <w:tc>
          <w:tcPr>
            <w:tcW w:w="756"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53"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如选是，符合核定面积（     ）㎡，超出核定面积（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Merge w:val="restart"/>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脱钩前固定资产（万元）</w:t>
            </w:r>
          </w:p>
        </w:tc>
        <w:tc>
          <w:tcPr>
            <w:tcW w:w="6309" w:type="dxa"/>
            <w:gridSpan w:val="2"/>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国有固定资产（    ）万元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Merge w:val="continue"/>
            <w:vAlign w:val="center"/>
          </w:tcPr>
          <w:p>
            <w:pPr>
              <w:spacing w:line="260" w:lineRule="exact"/>
              <w:rPr>
                <w:rFonts w:ascii="仿宋_GB2312" w:hAnsi="仿宋_GB2312" w:cs="仿宋_GB2312"/>
                <w:color w:val="auto"/>
                <w:spacing w:val="-10"/>
                <w:sz w:val="24"/>
                <w:highlight w:val="none"/>
              </w:rPr>
            </w:pPr>
          </w:p>
        </w:tc>
        <w:tc>
          <w:tcPr>
            <w:tcW w:w="6309" w:type="dxa"/>
            <w:gridSpan w:val="2"/>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其他固定资产（    ）万元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Merge w:val="restart"/>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脱钩前流动资产（万元）</w:t>
            </w:r>
          </w:p>
        </w:tc>
        <w:tc>
          <w:tcPr>
            <w:tcW w:w="6309" w:type="dxa"/>
            <w:gridSpan w:val="2"/>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国有流动资产（    ）万元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554" w:type="dxa"/>
            <w:vMerge w:val="continue"/>
            <w:vAlign w:val="center"/>
          </w:tcPr>
          <w:p>
            <w:pPr>
              <w:spacing w:line="260" w:lineRule="exact"/>
              <w:rPr>
                <w:rFonts w:ascii="仿宋_GB2312" w:hAnsi="仿宋_GB2312" w:cs="仿宋_GB2312"/>
                <w:color w:val="auto"/>
                <w:spacing w:val="-10"/>
                <w:sz w:val="24"/>
                <w:highlight w:val="none"/>
              </w:rPr>
            </w:pPr>
          </w:p>
        </w:tc>
        <w:tc>
          <w:tcPr>
            <w:tcW w:w="6309" w:type="dxa"/>
            <w:gridSpan w:val="2"/>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其他流动资产（    ）万元</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（五）人员情况</w:t>
      </w:r>
    </w:p>
    <w:tbl>
      <w:tblPr>
        <w:tblStyle w:val="4"/>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547"/>
        <w:gridCol w:w="729"/>
        <w:gridCol w:w="2416"/>
        <w:gridCol w:w="317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2547" w:type="dxa"/>
            <w:gridSpan w:val="2"/>
            <w:vAlign w:val="center"/>
          </w:tcPr>
          <w:p>
            <w:pPr>
              <w:spacing w:line="260" w:lineRule="exact"/>
              <w:rPr>
                <w:rFonts w:ascii="仿宋_GB2312" w:hAnsi="仿宋_GB2312" w:cs="仿宋_GB2312"/>
                <w:bCs/>
                <w:color w:val="auto"/>
                <w:spacing w:val="-10"/>
                <w:sz w:val="24"/>
                <w:highlight w:val="none"/>
              </w:rPr>
            </w:pPr>
            <w:r>
              <w:rPr>
                <w:rFonts w:hint="eastAsia" w:ascii="仿宋_GB2312" w:hAnsi="仿宋_GB2312" w:cs="仿宋_GB2312"/>
                <w:bCs/>
                <w:color w:val="auto"/>
                <w:spacing w:val="-10"/>
                <w:sz w:val="24"/>
                <w:highlight w:val="none"/>
              </w:rPr>
              <w:t>是否存在现职和不担任现职但未办理退（离）休手续的公务员在行业协会商会兼职任职情况</w:t>
            </w:r>
          </w:p>
        </w:tc>
        <w:tc>
          <w:tcPr>
            <w:tcW w:w="729"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87" w:type="dxa"/>
            <w:gridSpan w:val="2"/>
            <w:vAlign w:val="center"/>
          </w:tcPr>
          <w:p>
            <w:pPr>
              <w:spacing w:line="32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如选是，兼任职（  ）人次，其中省部级（  ）人次、地厅级（  ）人次、县处级（  ）人次，其他（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547" w:type="dxa"/>
            <w:gridSpan w:val="2"/>
            <w:vAlign w:val="center"/>
          </w:tcPr>
          <w:p>
            <w:pPr>
              <w:spacing w:line="260" w:lineRule="exact"/>
              <w:jc w:val="left"/>
              <w:rPr>
                <w:rFonts w:ascii="仿宋_GB2312" w:hAnsi="仿宋_GB2312" w:cs="仿宋_GB2312"/>
                <w:bCs/>
                <w:color w:val="auto"/>
                <w:spacing w:val="-20"/>
                <w:sz w:val="24"/>
                <w:highlight w:val="none"/>
              </w:rPr>
            </w:pPr>
            <w:r>
              <w:rPr>
                <w:rFonts w:hint="eastAsia" w:ascii="仿宋_GB2312" w:hAnsi="仿宋_GB2312" w:cs="仿宋_GB2312"/>
                <w:bCs/>
                <w:color w:val="auto"/>
                <w:spacing w:val="-20"/>
                <w:sz w:val="24"/>
                <w:highlight w:val="none"/>
              </w:rPr>
              <w:t>是否存在领导干部退（离）休未满三年在行业协会商会兼职任职情况</w:t>
            </w:r>
          </w:p>
        </w:tc>
        <w:tc>
          <w:tcPr>
            <w:tcW w:w="729" w:type="dxa"/>
            <w:tcMar>
              <w:left w:w="57" w:type="dxa"/>
              <w:right w:w="57" w:type="dxa"/>
            </w:tcMar>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是</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 否</w:t>
            </w:r>
          </w:p>
        </w:tc>
        <w:tc>
          <w:tcPr>
            <w:tcW w:w="5587" w:type="dxa"/>
            <w:gridSpan w:val="2"/>
            <w:vAlign w:val="center"/>
          </w:tcPr>
          <w:p>
            <w:pPr>
              <w:spacing w:line="32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如选是，兼任职（  ）人次，其中省部级（  ）人次、地厅级（  ）人次、县处级（  ）人次，其他（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3" w:type="dxa"/>
            <w:gridSpan w:val="5"/>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bCs/>
                <w:color w:val="auto"/>
                <w:spacing w:val="-10"/>
                <w:sz w:val="24"/>
                <w:highlight w:val="none"/>
              </w:rPr>
              <w:t>现职和不担任现职但未办理退（离）休手续的公务员情况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00"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兼任行业协会</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商会职务</w:t>
            </w:r>
          </w:p>
        </w:tc>
        <w:tc>
          <w:tcPr>
            <w:tcW w:w="1276" w:type="dxa"/>
            <w:gridSpan w:val="2"/>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姓 名</w:t>
            </w:r>
          </w:p>
        </w:tc>
        <w:tc>
          <w:tcPr>
            <w:tcW w:w="2416"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单  位</w:t>
            </w:r>
          </w:p>
        </w:tc>
        <w:tc>
          <w:tcPr>
            <w:tcW w:w="3171"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职  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00" w:type="dxa"/>
            <w:vAlign w:val="center"/>
          </w:tcPr>
          <w:p>
            <w:pPr>
              <w:spacing w:line="260" w:lineRule="exact"/>
              <w:jc w:val="center"/>
              <w:rPr>
                <w:rFonts w:ascii="仿宋_GB2312" w:hAnsi="仿宋_GB2312" w:cs="仿宋_GB2312"/>
                <w:color w:val="auto"/>
                <w:spacing w:val="-10"/>
                <w:sz w:val="24"/>
                <w:highlight w:val="none"/>
              </w:rPr>
            </w:pPr>
          </w:p>
        </w:tc>
        <w:tc>
          <w:tcPr>
            <w:tcW w:w="1276" w:type="dxa"/>
            <w:gridSpan w:val="2"/>
            <w:vAlign w:val="center"/>
          </w:tcPr>
          <w:p>
            <w:pPr>
              <w:spacing w:line="260" w:lineRule="exact"/>
              <w:jc w:val="center"/>
              <w:rPr>
                <w:rFonts w:ascii="仿宋_GB2312" w:hAnsi="仿宋_GB2312" w:cs="仿宋_GB2312"/>
                <w:color w:val="auto"/>
                <w:spacing w:val="-10"/>
                <w:sz w:val="24"/>
                <w:highlight w:val="none"/>
              </w:rPr>
            </w:pPr>
          </w:p>
        </w:tc>
        <w:tc>
          <w:tcPr>
            <w:tcW w:w="2416" w:type="dxa"/>
            <w:vAlign w:val="center"/>
          </w:tcPr>
          <w:p>
            <w:pPr>
              <w:spacing w:line="260" w:lineRule="exact"/>
              <w:jc w:val="center"/>
              <w:rPr>
                <w:rFonts w:ascii="仿宋_GB2312" w:hAnsi="仿宋_GB2312" w:cs="仿宋_GB2312"/>
                <w:color w:val="auto"/>
                <w:spacing w:val="-10"/>
                <w:sz w:val="24"/>
                <w:highlight w:val="none"/>
              </w:rPr>
            </w:pPr>
          </w:p>
        </w:tc>
        <w:tc>
          <w:tcPr>
            <w:tcW w:w="3171" w:type="dxa"/>
            <w:vAlign w:val="center"/>
          </w:tcPr>
          <w:p>
            <w:pPr>
              <w:spacing w:line="260" w:lineRule="exact"/>
              <w:jc w:val="center"/>
              <w:rPr>
                <w:rFonts w:ascii="仿宋_GB2312" w:hAnsi="仿宋_GB2312" w:cs="仿宋_GB2312"/>
                <w:color w:val="auto"/>
                <w:spacing w:val="-1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000" w:type="dxa"/>
            <w:vAlign w:val="center"/>
          </w:tcPr>
          <w:p>
            <w:pPr>
              <w:spacing w:line="260" w:lineRule="exact"/>
              <w:jc w:val="center"/>
              <w:rPr>
                <w:rFonts w:ascii="仿宋_GB2312" w:hAnsi="仿宋_GB2312" w:cs="仿宋_GB2312"/>
                <w:color w:val="auto"/>
                <w:spacing w:val="-10"/>
                <w:sz w:val="24"/>
                <w:highlight w:val="none"/>
              </w:rPr>
            </w:pPr>
          </w:p>
        </w:tc>
        <w:tc>
          <w:tcPr>
            <w:tcW w:w="1276" w:type="dxa"/>
            <w:gridSpan w:val="2"/>
            <w:vAlign w:val="center"/>
          </w:tcPr>
          <w:p>
            <w:pPr>
              <w:spacing w:line="260" w:lineRule="exact"/>
              <w:jc w:val="center"/>
              <w:rPr>
                <w:rFonts w:ascii="仿宋_GB2312" w:hAnsi="仿宋_GB2312" w:cs="仿宋_GB2312"/>
                <w:color w:val="auto"/>
                <w:spacing w:val="-10"/>
                <w:sz w:val="24"/>
                <w:highlight w:val="none"/>
              </w:rPr>
            </w:pPr>
          </w:p>
        </w:tc>
        <w:tc>
          <w:tcPr>
            <w:tcW w:w="2416" w:type="dxa"/>
            <w:vAlign w:val="center"/>
          </w:tcPr>
          <w:p>
            <w:pPr>
              <w:spacing w:line="260" w:lineRule="exact"/>
              <w:jc w:val="center"/>
              <w:rPr>
                <w:rFonts w:ascii="仿宋_GB2312" w:hAnsi="仿宋_GB2312" w:cs="仿宋_GB2312"/>
                <w:color w:val="auto"/>
                <w:spacing w:val="-10"/>
                <w:sz w:val="24"/>
                <w:highlight w:val="none"/>
              </w:rPr>
            </w:pPr>
          </w:p>
        </w:tc>
        <w:tc>
          <w:tcPr>
            <w:tcW w:w="3171" w:type="dxa"/>
            <w:vAlign w:val="center"/>
          </w:tcPr>
          <w:p>
            <w:pPr>
              <w:spacing w:line="260" w:lineRule="exact"/>
              <w:jc w:val="center"/>
              <w:rPr>
                <w:rFonts w:ascii="仿宋_GB2312" w:hAnsi="仿宋_GB2312" w:cs="仿宋_GB2312"/>
                <w:color w:val="auto"/>
                <w:spacing w:val="-1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63" w:type="dxa"/>
            <w:gridSpan w:val="5"/>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bCs/>
                <w:color w:val="auto"/>
                <w:spacing w:val="-10"/>
                <w:sz w:val="24"/>
                <w:highlight w:val="none"/>
              </w:rPr>
              <w:t>退（离）休未满三年的领导干部情况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2000"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兼任行业协会</w:t>
            </w:r>
          </w:p>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商会职务</w:t>
            </w:r>
          </w:p>
        </w:tc>
        <w:tc>
          <w:tcPr>
            <w:tcW w:w="1276" w:type="dxa"/>
            <w:gridSpan w:val="2"/>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姓 名</w:t>
            </w:r>
          </w:p>
        </w:tc>
        <w:tc>
          <w:tcPr>
            <w:tcW w:w="2416"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原单位和职务</w:t>
            </w:r>
          </w:p>
        </w:tc>
        <w:tc>
          <w:tcPr>
            <w:tcW w:w="3171" w:type="dxa"/>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退（离）休时间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000" w:type="dxa"/>
            <w:vAlign w:val="center"/>
          </w:tcPr>
          <w:p>
            <w:pPr>
              <w:spacing w:line="260" w:lineRule="exact"/>
              <w:jc w:val="center"/>
              <w:rPr>
                <w:rFonts w:ascii="仿宋_GB2312" w:hAnsi="仿宋_GB2312" w:cs="仿宋_GB2312"/>
                <w:color w:val="auto"/>
                <w:spacing w:val="-10"/>
                <w:sz w:val="24"/>
                <w:highlight w:val="none"/>
              </w:rPr>
            </w:pPr>
          </w:p>
        </w:tc>
        <w:tc>
          <w:tcPr>
            <w:tcW w:w="1276" w:type="dxa"/>
            <w:gridSpan w:val="2"/>
            <w:vAlign w:val="center"/>
          </w:tcPr>
          <w:p>
            <w:pPr>
              <w:spacing w:line="260" w:lineRule="exact"/>
              <w:jc w:val="center"/>
              <w:rPr>
                <w:rFonts w:ascii="仿宋_GB2312" w:hAnsi="仿宋_GB2312" w:cs="仿宋_GB2312"/>
                <w:color w:val="auto"/>
                <w:spacing w:val="-10"/>
                <w:sz w:val="24"/>
                <w:highlight w:val="none"/>
              </w:rPr>
            </w:pPr>
          </w:p>
        </w:tc>
        <w:tc>
          <w:tcPr>
            <w:tcW w:w="2416" w:type="dxa"/>
            <w:vAlign w:val="center"/>
          </w:tcPr>
          <w:p>
            <w:pPr>
              <w:spacing w:line="260" w:lineRule="exact"/>
              <w:jc w:val="center"/>
              <w:rPr>
                <w:rFonts w:ascii="仿宋_GB2312" w:hAnsi="仿宋_GB2312" w:cs="仿宋_GB2312"/>
                <w:color w:val="auto"/>
                <w:spacing w:val="-10"/>
                <w:sz w:val="24"/>
                <w:highlight w:val="none"/>
              </w:rPr>
            </w:pPr>
          </w:p>
        </w:tc>
        <w:tc>
          <w:tcPr>
            <w:tcW w:w="3171" w:type="dxa"/>
            <w:vAlign w:val="center"/>
          </w:tcPr>
          <w:p>
            <w:pPr>
              <w:spacing w:line="260" w:lineRule="exact"/>
              <w:jc w:val="center"/>
              <w:rPr>
                <w:rFonts w:ascii="仿宋_GB2312" w:hAnsi="仿宋_GB2312" w:cs="仿宋_GB2312"/>
                <w:color w:val="auto"/>
                <w:spacing w:val="-10"/>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2000" w:type="dxa"/>
            <w:vAlign w:val="center"/>
          </w:tcPr>
          <w:p>
            <w:pPr>
              <w:spacing w:line="260" w:lineRule="exact"/>
              <w:jc w:val="center"/>
              <w:rPr>
                <w:rFonts w:ascii="仿宋_GB2312" w:hAnsi="仿宋_GB2312" w:cs="仿宋_GB2312"/>
                <w:color w:val="auto"/>
                <w:spacing w:val="-10"/>
                <w:sz w:val="24"/>
                <w:highlight w:val="none"/>
              </w:rPr>
            </w:pPr>
          </w:p>
        </w:tc>
        <w:tc>
          <w:tcPr>
            <w:tcW w:w="1276" w:type="dxa"/>
            <w:gridSpan w:val="2"/>
            <w:vAlign w:val="center"/>
          </w:tcPr>
          <w:p>
            <w:pPr>
              <w:spacing w:line="260" w:lineRule="exact"/>
              <w:jc w:val="center"/>
              <w:rPr>
                <w:rFonts w:ascii="仿宋_GB2312" w:hAnsi="仿宋_GB2312" w:cs="仿宋_GB2312"/>
                <w:color w:val="auto"/>
                <w:spacing w:val="-10"/>
                <w:sz w:val="24"/>
                <w:highlight w:val="none"/>
              </w:rPr>
            </w:pPr>
          </w:p>
        </w:tc>
        <w:tc>
          <w:tcPr>
            <w:tcW w:w="2416" w:type="dxa"/>
            <w:vAlign w:val="center"/>
          </w:tcPr>
          <w:p>
            <w:pPr>
              <w:spacing w:line="260" w:lineRule="exact"/>
              <w:jc w:val="center"/>
              <w:rPr>
                <w:rFonts w:ascii="仿宋_GB2312" w:hAnsi="仿宋_GB2312" w:cs="仿宋_GB2312"/>
                <w:color w:val="auto"/>
                <w:spacing w:val="-10"/>
                <w:sz w:val="24"/>
                <w:highlight w:val="none"/>
              </w:rPr>
            </w:pPr>
          </w:p>
        </w:tc>
        <w:tc>
          <w:tcPr>
            <w:tcW w:w="3171" w:type="dxa"/>
            <w:vAlign w:val="center"/>
          </w:tcPr>
          <w:p>
            <w:pPr>
              <w:spacing w:line="260" w:lineRule="exact"/>
              <w:jc w:val="center"/>
              <w:rPr>
                <w:rFonts w:ascii="仿宋_GB2312" w:hAnsi="仿宋_GB2312" w:cs="仿宋_GB2312"/>
                <w:color w:val="auto"/>
                <w:spacing w:val="-10"/>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（六）党建情况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31"/>
        <w:gridCol w:w="1956"/>
        <w:gridCol w:w="447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431"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党组织设置情况</w:t>
            </w:r>
          </w:p>
        </w:tc>
        <w:tc>
          <w:tcPr>
            <w:tcW w:w="1956"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党员人数</w:t>
            </w:r>
          </w:p>
        </w:tc>
        <w:tc>
          <w:tcPr>
            <w:tcW w:w="4476"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上级党组织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47" w:hRule="atLeast"/>
        </w:trPr>
        <w:tc>
          <w:tcPr>
            <w:tcW w:w="2431"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□党委</w:t>
            </w:r>
          </w:p>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□党总支</w:t>
            </w:r>
          </w:p>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□党支部</w:t>
            </w:r>
          </w:p>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□临时党组织</w:t>
            </w:r>
          </w:p>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□联合党支部</w:t>
            </w:r>
          </w:p>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□未建立党组织</w:t>
            </w:r>
          </w:p>
        </w:tc>
        <w:tc>
          <w:tcPr>
            <w:tcW w:w="1956" w:type="dxa"/>
            <w:vAlign w:val="center"/>
          </w:tcPr>
          <w:p>
            <w:pPr>
              <w:spacing w:line="260" w:lineRule="exact"/>
              <w:jc w:val="center"/>
              <w:rPr>
                <w:rFonts w:ascii="仿宋_GB2312" w:hAnsi="仿宋_GB2312" w:cs="仿宋_GB2312"/>
                <w:color w:val="auto"/>
                <w:sz w:val="24"/>
                <w:highlight w:val="none"/>
              </w:rPr>
            </w:pPr>
          </w:p>
        </w:tc>
        <w:tc>
          <w:tcPr>
            <w:tcW w:w="4476" w:type="dxa"/>
          </w:tcPr>
          <w:p>
            <w:pPr>
              <w:spacing w:line="260" w:lineRule="exact"/>
              <w:rPr>
                <w:rFonts w:ascii="仿宋_GB2312" w:hAnsi="仿宋_GB2312" w:cs="仿宋_GB2312"/>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（七）外事情况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558"/>
        <w:gridCol w:w="1166"/>
        <w:gridCol w:w="51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558" w:type="dxa"/>
            <w:vMerge w:val="restart"/>
            <w:vAlign w:val="center"/>
          </w:tcPr>
          <w:p>
            <w:pPr>
              <w:spacing w:line="260" w:lineRule="exact"/>
              <w:jc w:val="center"/>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是否参加国际组织</w:t>
            </w:r>
          </w:p>
        </w:tc>
        <w:tc>
          <w:tcPr>
            <w:tcW w:w="6305" w:type="dxa"/>
            <w:gridSpan w:val="2"/>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558" w:type="dxa"/>
            <w:vMerge w:val="continue"/>
            <w:vAlign w:val="center"/>
          </w:tcPr>
          <w:p>
            <w:pPr>
              <w:spacing w:line="260" w:lineRule="exact"/>
              <w:rPr>
                <w:rFonts w:ascii="仿宋_GB2312" w:hAnsi="仿宋_GB2312" w:cs="仿宋_GB2312"/>
                <w:color w:val="auto"/>
                <w:spacing w:val="-10"/>
                <w:sz w:val="24"/>
                <w:highlight w:val="none"/>
              </w:rPr>
            </w:pPr>
          </w:p>
        </w:tc>
        <w:tc>
          <w:tcPr>
            <w:tcW w:w="6305" w:type="dxa"/>
            <w:gridSpan w:val="2"/>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如选是，参加国际组织名称为（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724" w:type="dxa"/>
            <w:gridSpan w:val="2"/>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上年度组团出国访问（   ）个</w:t>
            </w:r>
          </w:p>
        </w:tc>
        <w:tc>
          <w:tcPr>
            <w:tcW w:w="513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上年度工作人员因公出国（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3724" w:type="dxa"/>
            <w:gridSpan w:val="2"/>
            <w:vAlign w:val="center"/>
          </w:tcPr>
          <w:p>
            <w:pPr>
              <w:spacing w:line="260" w:lineRule="exact"/>
              <w:rPr>
                <w:rFonts w:ascii="仿宋_GB2312" w:hAnsi="仿宋_GB2312" w:cs="仿宋_GB2312"/>
                <w:color w:val="auto"/>
                <w:spacing w:val="-18"/>
                <w:sz w:val="24"/>
                <w:highlight w:val="none"/>
              </w:rPr>
            </w:pPr>
            <w:r>
              <w:rPr>
                <w:rFonts w:hint="eastAsia" w:ascii="仿宋_GB2312" w:hAnsi="仿宋_GB2312" w:cs="仿宋_GB2312"/>
                <w:color w:val="auto"/>
                <w:spacing w:val="-18"/>
                <w:sz w:val="24"/>
                <w:highlight w:val="none"/>
              </w:rPr>
              <w:t>上年度邀请国外人员来访（   ）人次</w:t>
            </w:r>
          </w:p>
        </w:tc>
        <w:tc>
          <w:tcPr>
            <w:tcW w:w="5139" w:type="dxa"/>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上年度接受国外捐赠、资助情况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8863" w:type="dxa"/>
            <w:gridSpan w:val="3"/>
            <w:vAlign w:val="center"/>
          </w:tcPr>
          <w:p>
            <w:pPr>
              <w:spacing w:line="26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上年度举办国际会议（   ）个</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（八）举办报纸期刊杂志情况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72"/>
        <w:gridCol w:w="855"/>
        <w:gridCol w:w="2202"/>
        <w:gridCol w:w="1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trPr>
        <w:tc>
          <w:tcPr>
            <w:tcW w:w="3972"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名    称</w:t>
            </w:r>
          </w:p>
        </w:tc>
        <w:tc>
          <w:tcPr>
            <w:tcW w:w="855"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刊号</w:t>
            </w:r>
          </w:p>
        </w:tc>
        <w:tc>
          <w:tcPr>
            <w:tcW w:w="2202"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主管单位</w:t>
            </w:r>
          </w:p>
        </w:tc>
        <w:tc>
          <w:tcPr>
            <w:tcW w:w="1834" w:type="dxa"/>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主办单位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3972" w:type="dxa"/>
            <w:vAlign w:val="center"/>
          </w:tcPr>
          <w:p>
            <w:pPr>
              <w:spacing w:line="260" w:lineRule="exact"/>
              <w:rPr>
                <w:rFonts w:ascii="仿宋_GB2312" w:hAnsi="仿宋_GB2312" w:cs="仿宋_GB2312"/>
                <w:color w:val="auto"/>
                <w:sz w:val="24"/>
                <w:highlight w:val="none"/>
              </w:rPr>
            </w:pPr>
          </w:p>
        </w:tc>
        <w:tc>
          <w:tcPr>
            <w:tcW w:w="855" w:type="dxa"/>
            <w:vAlign w:val="center"/>
          </w:tcPr>
          <w:p>
            <w:pPr>
              <w:spacing w:line="260" w:lineRule="exact"/>
              <w:rPr>
                <w:rFonts w:ascii="仿宋_GB2312" w:hAnsi="仿宋_GB2312" w:cs="仿宋_GB2312"/>
                <w:color w:val="auto"/>
                <w:sz w:val="24"/>
                <w:highlight w:val="none"/>
              </w:rPr>
            </w:pPr>
          </w:p>
        </w:tc>
        <w:tc>
          <w:tcPr>
            <w:tcW w:w="2202" w:type="dxa"/>
            <w:vAlign w:val="center"/>
          </w:tcPr>
          <w:p>
            <w:pPr>
              <w:spacing w:line="260" w:lineRule="exact"/>
              <w:rPr>
                <w:rFonts w:ascii="仿宋_GB2312" w:hAnsi="仿宋_GB2312" w:cs="仿宋_GB2312"/>
                <w:color w:val="auto"/>
                <w:sz w:val="24"/>
                <w:highlight w:val="none"/>
              </w:rPr>
            </w:pPr>
          </w:p>
        </w:tc>
        <w:tc>
          <w:tcPr>
            <w:tcW w:w="1834" w:type="dxa"/>
            <w:vAlign w:val="center"/>
          </w:tcPr>
          <w:p>
            <w:pPr>
              <w:spacing w:line="260" w:lineRule="exact"/>
              <w:rPr>
                <w:rFonts w:ascii="仿宋_GB2312" w:hAnsi="仿宋_GB2312" w:cs="仿宋_GB2312"/>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3972" w:type="dxa"/>
            <w:vAlign w:val="center"/>
          </w:tcPr>
          <w:p>
            <w:pPr>
              <w:spacing w:line="260" w:lineRule="exact"/>
              <w:rPr>
                <w:rFonts w:ascii="仿宋_GB2312" w:hAnsi="仿宋_GB2312" w:cs="仿宋_GB2312"/>
                <w:color w:val="auto"/>
                <w:sz w:val="24"/>
                <w:highlight w:val="none"/>
              </w:rPr>
            </w:pPr>
          </w:p>
        </w:tc>
        <w:tc>
          <w:tcPr>
            <w:tcW w:w="855" w:type="dxa"/>
            <w:vAlign w:val="center"/>
          </w:tcPr>
          <w:p>
            <w:pPr>
              <w:spacing w:line="260" w:lineRule="exact"/>
              <w:rPr>
                <w:rFonts w:ascii="仿宋_GB2312" w:hAnsi="仿宋_GB2312" w:cs="仿宋_GB2312"/>
                <w:color w:val="auto"/>
                <w:sz w:val="24"/>
                <w:highlight w:val="none"/>
              </w:rPr>
            </w:pPr>
          </w:p>
        </w:tc>
        <w:tc>
          <w:tcPr>
            <w:tcW w:w="2202" w:type="dxa"/>
            <w:vAlign w:val="center"/>
          </w:tcPr>
          <w:p>
            <w:pPr>
              <w:spacing w:line="260" w:lineRule="exact"/>
              <w:rPr>
                <w:rFonts w:ascii="仿宋_GB2312" w:hAnsi="仿宋_GB2312" w:cs="仿宋_GB2312"/>
                <w:color w:val="auto"/>
                <w:sz w:val="24"/>
                <w:highlight w:val="none"/>
              </w:rPr>
            </w:pPr>
          </w:p>
        </w:tc>
        <w:tc>
          <w:tcPr>
            <w:tcW w:w="1834" w:type="dxa"/>
            <w:vAlign w:val="center"/>
          </w:tcPr>
          <w:p>
            <w:pPr>
              <w:spacing w:line="260" w:lineRule="exact"/>
              <w:rPr>
                <w:rFonts w:ascii="仿宋_GB2312" w:hAnsi="仿宋_GB2312" w:cs="仿宋_GB2312"/>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（九）联系挂靠情况</w:t>
      </w:r>
    </w:p>
    <w:tbl>
      <w:tblPr>
        <w:tblStyle w:val="4"/>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02"/>
        <w:gridCol w:w="886"/>
        <w:gridCol w:w="587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102" w:type="dxa"/>
            <w:vMerge w:val="restart"/>
            <w:vAlign w:val="center"/>
          </w:tcPr>
          <w:p>
            <w:pPr>
              <w:spacing w:line="32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是否存在联系挂靠其他行政机关或参公管理单位情况</w:t>
            </w:r>
          </w:p>
        </w:tc>
        <w:tc>
          <w:tcPr>
            <w:tcW w:w="886" w:type="dxa"/>
            <w:vMerge w:val="restart"/>
            <w:vAlign w:val="center"/>
          </w:tcPr>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 是</w:t>
            </w:r>
          </w:p>
          <w:p>
            <w:pPr>
              <w:spacing w:line="26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 否</w:t>
            </w:r>
          </w:p>
        </w:tc>
        <w:tc>
          <w:tcPr>
            <w:tcW w:w="5875" w:type="dxa"/>
            <w:vAlign w:val="center"/>
          </w:tcPr>
          <w:p>
            <w:pPr>
              <w:spacing w:line="26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如选是，联系挂靠单位名称（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7" w:hRule="atLeast"/>
          <w:jc w:val="center"/>
        </w:trPr>
        <w:tc>
          <w:tcPr>
            <w:tcW w:w="2102" w:type="dxa"/>
            <w:vMerge w:val="continue"/>
            <w:vAlign w:val="center"/>
          </w:tcPr>
          <w:p>
            <w:pPr>
              <w:spacing w:line="260" w:lineRule="exact"/>
              <w:rPr>
                <w:rFonts w:ascii="仿宋_GB2312" w:hAnsi="仿宋_GB2312" w:cs="仿宋_GB2312"/>
                <w:color w:val="auto"/>
                <w:sz w:val="24"/>
                <w:highlight w:val="none"/>
              </w:rPr>
            </w:pPr>
          </w:p>
        </w:tc>
        <w:tc>
          <w:tcPr>
            <w:tcW w:w="886" w:type="dxa"/>
            <w:vMerge w:val="continue"/>
            <w:vAlign w:val="center"/>
          </w:tcPr>
          <w:p>
            <w:pPr>
              <w:spacing w:line="260" w:lineRule="exact"/>
              <w:jc w:val="center"/>
              <w:rPr>
                <w:rFonts w:ascii="仿宋_GB2312" w:hAnsi="仿宋_GB2312" w:cs="仿宋_GB2312"/>
                <w:color w:val="auto"/>
                <w:sz w:val="24"/>
                <w:highlight w:val="none"/>
              </w:rPr>
            </w:pPr>
          </w:p>
        </w:tc>
        <w:tc>
          <w:tcPr>
            <w:tcW w:w="5875" w:type="dxa"/>
          </w:tcPr>
          <w:p>
            <w:pPr>
              <w:spacing w:beforeLines="20" w:line="44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涉及联系挂靠单位的脱钩事项：</w:t>
            </w:r>
          </w:p>
          <w:p>
            <w:pPr>
              <w:spacing w:line="44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1.</w:t>
            </w:r>
          </w:p>
          <w:p>
            <w:pPr>
              <w:spacing w:line="440" w:lineRule="exact"/>
              <w:rPr>
                <w:rFonts w:ascii="仿宋_GB2312" w:hAnsi="仿宋_GB2312" w:cs="仿宋_GB2312"/>
                <w:color w:val="auto"/>
                <w:sz w:val="24"/>
                <w:highlight w:val="none"/>
              </w:rPr>
            </w:pPr>
            <w:r>
              <w:rPr>
                <w:rFonts w:hint="eastAsia" w:ascii="仿宋_GB2312" w:hAnsi="仿宋_GB2312" w:cs="仿宋_GB2312"/>
                <w:color w:val="auto"/>
                <w:sz w:val="24"/>
                <w:highlight w:val="none"/>
              </w:rPr>
              <w:t>2.</w:t>
            </w:r>
          </w:p>
        </w:tc>
      </w:tr>
    </w:tbl>
    <w:p>
      <w:pPr>
        <w:spacing w:line="600" w:lineRule="exact"/>
        <w:rPr>
          <w:rFonts w:eastAsia="黑体"/>
          <w:color w:val="auto"/>
          <w:sz w:val="28"/>
          <w:szCs w:val="28"/>
          <w:highlight w:val="none"/>
        </w:rPr>
      </w:pPr>
      <w:r>
        <w:rPr>
          <w:color w:val="auto"/>
          <w:highlight w:val="none"/>
        </w:rPr>
        <w:br w:type="page"/>
      </w:r>
      <w:r>
        <w:rPr>
          <w:rFonts w:hint="eastAsia" w:ascii="黑体" w:hAnsi="黑体" w:eastAsia="黑体" w:cs="黑体"/>
          <w:color w:val="auto"/>
          <w:szCs w:val="32"/>
          <w:highlight w:val="none"/>
        </w:rPr>
        <w:t>附件3</w:t>
      </w:r>
    </w:p>
    <w:p>
      <w:pPr>
        <w:spacing w:line="600" w:lineRule="exact"/>
        <w:rPr>
          <w:rFonts w:eastAsia="黑体"/>
          <w:color w:val="auto"/>
          <w:sz w:val="28"/>
          <w:szCs w:val="28"/>
          <w:highlight w:val="none"/>
        </w:rPr>
      </w:pPr>
    </w:p>
    <w:p>
      <w:pPr>
        <w:spacing w:line="600" w:lineRule="exact"/>
        <w:jc w:val="center"/>
        <w:rPr>
          <w:rFonts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╳╳╳协会脱钩实施方案（模板）</w:t>
      </w:r>
    </w:p>
    <w:p>
      <w:pPr>
        <w:spacing w:line="600" w:lineRule="exact"/>
        <w:rPr>
          <w:color w:val="auto"/>
          <w:szCs w:val="32"/>
          <w:highlight w:val="none"/>
        </w:rPr>
      </w:pPr>
    </w:p>
    <w:p>
      <w:pPr>
        <w:spacing w:line="600" w:lineRule="exact"/>
        <w:rPr>
          <w:color w:val="auto"/>
          <w:szCs w:val="32"/>
          <w:highlight w:val="none"/>
        </w:rPr>
      </w:pPr>
      <w:r>
        <w:rPr>
          <w:color w:val="auto"/>
          <w:szCs w:val="32"/>
          <w:highlight w:val="none"/>
        </w:rPr>
        <w:t xml:space="preserve">    根据《中共中央办公厅 国务院办公厅关于印发&lt;行业协会商会与行政机关脱钩总体方案&gt;的通知》（中办发〔2015〕39号，以下简称《总体方案》）</w:t>
      </w:r>
      <w:r>
        <w:rPr>
          <w:rFonts w:hint="eastAsia"/>
          <w:color w:val="auto"/>
          <w:szCs w:val="32"/>
          <w:highlight w:val="none"/>
        </w:rPr>
        <w:t>和</w:t>
      </w:r>
      <w:r>
        <w:rPr>
          <w:rFonts w:hint="eastAsia" w:ascii="仿宋_GB2312" w:hAnsi="仿宋_GB2312" w:cs="仿宋_GB2312"/>
          <w:color w:val="auto"/>
          <w:szCs w:val="32"/>
          <w:highlight w:val="none"/>
        </w:rPr>
        <w:t>国家发展改革委等部门</w:t>
      </w:r>
      <w:r>
        <w:rPr>
          <w:color w:val="auto"/>
          <w:szCs w:val="32"/>
          <w:highlight w:val="none"/>
        </w:rPr>
        <w:t>《关于全面推开行业协会商会与行政机关脱钩改革的实施意见》（发改经体〔2019〕1063号，以下简称《实施意见》）</w:t>
      </w:r>
      <w:r>
        <w:rPr>
          <w:rFonts w:hint="eastAsia"/>
          <w:color w:val="auto"/>
          <w:szCs w:val="32"/>
          <w:highlight w:val="none"/>
        </w:rPr>
        <w:t>等文件</w:t>
      </w:r>
      <w:r>
        <w:rPr>
          <w:rFonts w:hint="eastAsia" w:ascii="仿宋_GB2312" w:hAnsi="仿宋_GB2312" w:cs="仿宋_GB2312"/>
          <w:color w:val="auto"/>
          <w:szCs w:val="32"/>
          <w:highlight w:val="none"/>
        </w:rPr>
        <w:t>精神</w:t>
      </w:r>
      <w:r>
        <w:rPr>
          <w:color w:val="auto"/>
          <w:szCs w:val="32"/>
          <w:highlight w:val="none"/>
        </w:rPr>
        <w:t>，为做好╳╳╳协会（</w:t>
      </w:r>
      <w:r>
        <w:rPr>
          <w:rFonts w:hint="eastAsia"/>
          <w:color w:val="auto"/>
          <w:szCs w:val="32"/>
          <w:highlight w:val="none"/>
        </w:rPr>
        <w:t>以下</w:t>
      </w:r>
      <w:r>
        <w:rPr>
          <w:color w:val="auto"/>
          <w:szCs w:val="32"/>
          <w:highlight w:val="none"/>
        </w:rPr>
        <w:t>简称╳╳╳协会）脱钩工作，制定本方案。</w:t>
      </w:r>
    </w:p>
    <w:p>
      <w:pPr>
        <w:spacing w:line="600" w:lineRule="exact"/>
        <w:rPr>
          <w:color w:val="auto"/>
          <w:szCs w:val="32"/>
          <w:highlight w:val="none"/>
        </w:rPr>
      </w:pPr>
      <w:r>
        <w:rPr>
          <w:color w:val="auto"/>
          <w:szCs w:val="32"/>
          <w:highlight w:val="none"/>
        </w:rPr>
        <w:t xml:space="preserve">    </w:t>
      </w:r>
      <w:r>
        <w:rPr>
          <w:rFonts w:eastAsia="黑体"/>
          <w:color w:val="auto"/>
          <w:szCs w:val="32"/>
          <w:highlight w:val="none"/>
        </w:rPr>
        <w:t>一、指导思想</w:t>
      </w:r>
    </w:p>
    <w:p>
      <w:pPr>
        <w:spacing w:line="600" w:lineRule="exact"/>
        <w:rPr>
          <w:color w:val="auto"/>
          <w:szCs w:val="32"/>
          <w:highlight w:val="none"/>
        </w:rPr>
      </w:pPr>
      <w:r>
        <w:rPr>
          <w:color w:val="auto"/>
          <w:szCs w:val="32"/>
          <w:highlight w:val="none"/>
        </w:rPr>
        <w:t xml:space="preserve">    认真贯彻落实党的十九大和十九届二中、三中、四中全会精神，认真执行《总体方案》《实施意见》及各项配套政策，严格依法依纪依规完成╳╳╳协会各项脱钩任务，实现脱钩目标。按照政策规定对╳╳╳协会进行扶持，促进╳╳╳协会工作持续健康发展，切实维护╳╳╳协会职工合法权益，确保脱钩工作平稳有序进行。</w:t>
      </w:r>
    </w:p>
    <w:p>
      <w:pPr>
        <w:spacing w:line="600" w:lineRule="exact"/>
        <w:rPr>
          <w:color w:val="auto"/>
          <w:szCs w:val="32"/>
          <w:highlight w:val="none"/>
        </w:rPr>
      </w:pPr>
      <w:r>
        <w:rPr>
          <w:color w:val="auto"/>
          <w:szCs w:val="32"/>
          <w:highlight w:val="none"/>
        </w:rPr>
        <w:t xml:space="preserve">    </w:t>
      </w:r>
      <w:r>
        <w:rPr>
          <w:rFonts w:eastAsia="黑体"/>
          <w:color w:val="auto"/>
          <w:szCs w:val="32"/>
          <w:highlight w:val="none"/>
        </w:rPr>
        <w:t>二、主要目标</w:t>
      </w:r>
    </w:p>
    <w:p>
      <w:pPr>
        <w:spacing w:line="600" w:lineRule="exact"/>
        <w:rPr>
          <w:color w:val="auto"/>
          <w:szCs w:val="32"/>
          <w:highlight w:val="none"/>
        </w:rPr>
      </w:pPr>
      <w:r>
        <w:rPr>
          <w:color w:val="auto"/>
          <w:szCs w:val="32"/>
          <w:highlight w:val="none"/>
        </w:rPr>
        <w:t xml:space="preserve">    按照《总体方案》《实施意见》要求，为加快转变政府职能、充分发挥行业协会商会在经济发展中的独特优势和应有作用，╳╳╳协会脱钩工作围绕“五分离、五规范”展开：机构分离，规范综合监管关系；职能分离，规范行政委托和职责分工关系；资产财务分离，规范综合财产关系；人员管理分离</w:t>
      </w:r>
      <w:r>
        <w:rPr>
          <w:rFonts w:hint="eastAsia"/>
          <w:color w:val="auto"/>
          <w:szCs w:val="32"/>
          <w:highlight w:val="none"/>
        </w:rPr>
        <w:t>，</w:t>
      </w:r>
      <w:r>
        <w:rPr>
          <w:color w:val="auto"/>
          <w:szCs w:val="32"/>
          <w:highlight w:val="none"/>
        </w:rPr>
        <w:t>规范用人关系；党建、外事等事项分离，规范管理关系。通过脱钩，理清政府、市场、社会关系，厘清行政机关与行业协</w:t>
      </w:r>
      <w:r>
        <w:rPr>
          <w:rFonts w:hint="eastAsia"/>
          <w:color w:val="auto"/>
          <w:szCs w:val="32"/>
          <w:highlight w:val="none"/>
        </w:rPr>
        <w:t>会</w:t>
      </w:r>
      <w:r>
        <w:rPr>
          <w:color w:val="auto"/>
          <w:szCs w:val="32"/>
          <w:highlight w:val="none"/>
        </w:rPr>
        <w:t>的职能边界，促进╳╳╳协会成为依法设立、自主办会、服务为本、治理规范、行为自律的行业组织。</w:t>
      </w:r>
    </w:p>
    <w:p>
      <w:pPr>
        <w:spacing w:line="600" w:lineRule="exact"/>
        <w:rPr>
          <w:color w:val="auto"/>
          <w:szCs w:val="32"/>
          <w:highlight w:val="none"/>
        </w:rPr>
      </w:pPr>
      <w:r>
        <w:rPr>
          <w:color w:val="auto"/>
          <w:szCs w:val="32"/>
          <w:highlight w:val="none"/>
        </w:rPr>
        <w:t xml:space="preserve">    </w:t>
      </w:r>
      <w:r>
        <w:rPr>
          <w:rFonts w:eastAsia="黑体"/>
          <w:color w:val="auto"/>
          <w:szCs w:val="32"/>
          <w:highlight w:val="none"/>
        </w:rPr>
        <w:t>三、脱钩任务</w:t>
      </w:r>
    </w:p>
    <w:p>
      <w:pPr>
        <w:spacing w:line="600" w:lineRule="exact"/>
        <w:rPr>
          <w:rFonts w:eastAsia="楷体_GB2312"/>
          <w:color w:val="auto"/>
          <w:szCs w:val="32"/>
          <w:highlight w:val="none"/>
        </w:rPr>
      </w:pPr>
      <w:r>
        <w:rPr>
          <w:rFonts w:eastAsia="楷体_GB2312"/>
          <w:color w:val="auto"/>
          <w:szCs w:val="32"/>
          <w:highlight w:val="none"/>
        </w:rPr>
        <w:t xml:space="preserve">    （一）机构分离</w:t>
      </w:r>
    </w:p>
    <w:p>
      <w:pPr>
        <w:spacing w:line="600" w:lineRule="exact"/>
        <w:rPr>
          <w:color w:val="auto"/>
          <w:szCs w:val="32"/>
          <w:highlight w:val="none"/>
        </w:rPr>
      </w:pPr>
      <w:r>
        <w:rPr>
          <w:color w:val="auto"/>
          <w:szCs w:val="32"/>
          <w:highlight w:val="none"/>
        </w:rPr>
        <w:t xml:space="preserve">    取消╳╳╳局（委）与╳╳╳协会的主管关系。脱钩后，╳╳╳协会依法独立运行。</w:t>
      </w:r>
    </w:p>
    <w:p>
      <w:pPr>
        <w:spacing w:line="600" w:lineRule="exact"/>
        <w:rPr>
          <w:color w:val="auto"/>
          <w:szCs w:val="32"/>
          <w:highlight w:val="none"/>
        </w:rPr>
      </w:pPr>
      <w:r>
        <w:rPr>
          <w:color w:val="auto"/>
          <w:szCs w:val="32"/>
          <w:highlight w:val="none"/>
        </w:rPr>
        <w:t xml:space="preserve">    （责任单位：╳╳╳（</w:t>
      </w:r>
      <w:r>
        <w:rPr>
          <w:rFonts w:hint="eastAsia"/>
          <w:color w:val="auto"/>
          <w:szCs w:val="32"/>
          <w:highlight w:val="none"/>
        </w:rPr>
        <w:t>科</w:t>
      </w:r>
      <w:r>
        <w:rPr>
          <w:color w:val="auto"/>
          <w:szCs w:val="32"/>
          <w:highlight w:val="none"/>
        </w:rPr>
        <w:t>、办）、╳╳╳协会，完成时间：╳╳╳年╳╳╳月底前）</w:t>
      </w:r>
    </w:p>
    <w:p>
      <w:pPr>
        <w:spacing w:line="600" w:lineRule="exact"/>
        <w:rPr>
          <w:color w:val="auto"/>
          <w:szCs w:val="32"/>
          <w:highlight w:val="none"/>
        </w:rPr>
      </w:pPr>
      <w:r>
        <w:rPr>
          <w:color w:val="auto"/>
          <w:szCs w:val="32"/>
          <w:highlight w:val="none"/>
        </w:rPr>
        <w:t xml:space="preserve">    </w:t>
      </w:r>
      <w:r>
        <w:rPr>
          <w:rFonts w:eastAsia="楷体_GB2312"/>
          <w:color w:val="auto"/>
          <w:szCs w:val="32"/>
          <w:highlight w:val="none"/>
        </w:rPr>
        <w:t>（二）职能分离</w:t>
      </w:r>
    </w:p>
    <w:p>
      <w:pPr>
        <w:spacing w:line="600" w:lineRule="exact"/>
        <w:rPr>
          <w:color w:val="auto"/>
          <w:szCs w:val="32"/>
          <w:highlight w:val="none"/>
        </w:rPr>
      </w:pPr>
      <w:r>
        <w:rPr>
          <w:color w:val="auto"/>
          <w:szCs w:val="32"/>
          <w:highlight w:val="none"/>
        </w:rPr>
        <w:t xml:space="preserve">    厘清╳╳╳局（委）与╳╳╳协会的职能，争取承接各局（委）向╳╳╳协会购买服务的项目并制定监管措施、履行监管责任。</w:t>
      </w:r>
    </w:p>
    <w:p>
      <w:pPr>
        <w:spacing w:line="600" w:lineRule="exact"/>
        <w:rPr>
          <w:color w:val="auto"/>
          <w:szCs w:val="32"/>
          <w:highlight w:val="none"/>
        </w:rPr>
      </w:pPr>
      <w:r>
        <w:rPr>
          <w:color w:val="auto"/>
          <w:szCs w:val="32"/>
          <w:highlight w:val="none"/>
        </w:rPr>
        <w:t xml:space="preserve">    （责任单位：╳╳╳（</w:t>
      </w:r>
      <w:r>
        <w:rPr>
          <w:rFonts w:hint="eastAsia"/>
          <w:color w:val="auto"/>
          <w:szCs w:val="32"/>
          <w:highlight w:val="none"/>
        </w:rPr>
        <w:t>科</w:t>
      </w:r>
      <w:r>
        <w:rPr>
          <w:color w:val="auto"/>
          <w:szCs w:val="32"/>
          <w:highlight w:val="none"/>
        </w:rPr>
        <w:t>、办）、╳╳╳协会，完成时间：╳╳╳年╳╳╳月底前）</w:t>
      </w:r>
    </w:p>
    <w:p>
      <w:pPr>
        <w:spacing w:line="600" w:lineRule="exact"/>
        <w:rPr>
          <w:color w:val="auto"/>
          <w:szCs w:val="32"/>
          <w:highlight w:val="none"/>
        </w:rPr>
      </w:pPr>
      <w:r>
        <w:rPr>
          <w:color w:val="auto"/>
          <w:szCs w:val="32"/>
          <w:highlight w:val="none"/>
        </w:rPr>
        <w:t xml:space="preserve">   </w:t>
      </w:r>
      <w:r>
        <w:rPr>
          <w:rFonts w:eastAsia="楷体_GB2312"/>
          <w:color w:val="auto"/>
          <w:szCs w:val="32"/>
          <w:highlight w:val="none"/>
        </w:rPr>
        <w:t xml:space="preserve"> （三）资产财务分离</w:t>
      </w:r>
    </w:p>
    <w:p>
      <w:pPr>
        <w:spacing w:line="600" w:lineRule="exact"/>
        <w:rPr>
          <w:color w:val="auto"/>
          <w:szCs w:val="32"/>
          <w:highlight w:val="none"/>
        </w:rPr>
      </w:pPr>
      <w:r>
        <w:rPr>
          <w:color w:val="auto"/>
          <w:szCs w:val="32"/>
          <w:highlight w:val="none"/>
        </w:rPr>
        <w:t xml:space="preserve">    ╳╳╳局（委）组织对╳╳╳协会资产进行全面摸底和清查登记，厘清财产权属。脱钩后，╳╳╳协会将继续按照规定严格执行民间非营利组织会计制度，单独建</w:t>
      </w:r>
      <w:r>
        <w:rPr>
          <w:rFonts w:hint="eastAsia"/>
          <w:color w:val="auto"/>
          <w:szCs w:val="32"/>
          <w:highlight w:val="none"/>
        </w:rPr>
        <w:t>账</w:t>
      </w:r>
      <w:r>
        <w:rPr>
          <w:color w:val="auto"/>
          <w:szCs w:val="32"/>
          <w:highlight w:val="none"/>
        </w:rPr>
        <w:t>、独立核算，实行独立财务管理。</w:t>
      </w:r>
    </w:p>
    <w:p>
      <w:pPr>
        <w:spacing w:line="600" w:lineRule="exact"/>
        <w:rPr>
          <w:color w:val="auto"/>
          <w:szCs w:val="32"/>
          <w:highlight w:val="none"/>
        </w:rPr>
      </w:pPr>
      <w:r>
        <w:rPr>
          <w:color w:val="auto"/>
          <w:szCs w:val="32"/>
          <w:highlight w:val="none"/>
        </w:rPr>
        <w:t xml:space="preserve">    （责任单位：╳╳╳（</w:t>
      </w:r>
      <w:r>
        <w:rPr>
          <w:rFonts w:hint="eastAsia"/>
          <w:color w:val="auto"/>
          <w:szCs w:val="32"/>
          <w:highlight w:val="none"/>
        </w:rPr>
        <w:t>科</w:t>
      </w:r>
      <w:r>
        <w:rPr>
          <w:color w:val="auto"/>
          <w:szCs w:val="32"/>
          <w:highlight w:val="none"/>
        </w:rPr>
        <w:t>、办）、╳╳╳协会，完成时间：╳╳╳年╳╳╳月底前）</w:t>
      </w:r>
    </w:p>
    <w:p>
      <w:pPr>
        <w:spacing w:line="600" w:lineRule="exact"/>
        <w:rPr>
          <w:color w:val="auto"/>
          <w:szCs w:val="32"/>
          <w:highlight w:val="none"/>
        </w:rPr>
      </w:pPr>
      <w:r>
        <w:rPr>
          <w:color w:val="auto"/>
          <w:szCs w:val="32"/>
          <w:highlight w:val="none"/>
        </w:rPr>
        <w:t xml:space="preserve">    </w:t>
      </w:r>
      <w:r>
        <w:rPr>
          <w:rFonts w:eastAsia="楷体_GB2312"/>
          <w:color w:val="auto"/>
          <w:szCs w:val="32"/>
          <w:highlight w:val="none"/>
        </w:rPr>
        <w:t>（四）人员管理分离</w:t>
      </w:r>
    </w:p>
    <w:p>
      <w:pPr>
        <w:spacing w:line="600" w:lineRule="exact"/>
        <w:rPr>
          <w:color w:val="auto"/>
          <w:szCs w:val="32"/>
          <w:highlight w:val="none"/>
        </w:rPr>
      </w:pPr>
      <w:r>
        <w:rPr>
          <w:color w:val="auto"/>
          <w:szCs w:val="32"/>
          <w:highlight w:val="none"/>
        </w:rPr>
        <w:t xml:space="preserve">    根据《实施</w:t>
      </w:r>
      <w:r>
        <w:rPr>
          <w:rFonts w:hint="eastAsia"/>
          <w:color w:val="auto"/>
          <w:szCs w:val="32"/>
          <w:highlight w:val="none"/>
        </w:rPr>
        <w:t>意见</w:t>
      </w:r>
      <w:r>
        <w:rPr>
          <w:color w:val="auto"/>
          <w:szCs w:val="32"/>
          <w:highlight w:val="none"/>
        </w:rPr>
        <w:t>》和《全省性行业协会商会负责人任职管理办法（暂行）》确定的任职条件，对╳╳╳协会理事以上职务人员进行清理。脱钩后╳╳╳协会具有人事自主权，依法依规建立用人制度，进一步实行依章程自主选人用人。</w:t>
      </w:r>
    </w:p>
    <w:p>
      <w:pPr>
        <w:spacing w:line="600" w:lineRule="exact"/>
        <w:rPr>
          <w:color w:val="auto"/>
          <w:szCs w:val="32"/>
          <w:highlight w:val="none"/>
        </w:rPr>
      </w:pPr>
      <w:r>
        <w:rPr>
          <w:rFonts w:hint="eastAsia"/>
          <w:color w:val="auto"/>
          <w:szCs w:val="32"/>
          <w:highlight w:val="none"/>
        </w:rPr>
        <w:t xml:space="preserve">    </w:t>
      </w:r>
      <w:r>
        <w:rPr>
          <w:color w:val="auto"/>
          <w:szCs w:val="32"/>
          <w:highlight w:val="none"/>
        </w:rPr>
        <w:t>╳╳╳协会将继续全面实行劳动合同制度，与工作人员签订劳动合同，依法保障工作人员合法权益。工作人员的工资，由╳╳╳协会按照国家有关法律、法规政策确定，按照国家政策规定为职工缴纳“五险一金”。</w:t>
      </w:r>
    </w:p>
    <w:p>
      <w:pPr>
        <w:spacing w:line="600" w:lineRule="exact"/>
        <w:rPr>
          <w:color w:val="auto"/>
          <w:szCs w:val="32"/>
          <w:highlight w:val="none"/>
        </w:rPr>
      </w:pPr>
      <w:r>
        <w:rPr>
          <w:color w:val="auto"/>
          <w:szCs w:val="32"/>
          <w:highlight w:val="none"/>
        </w:rPr>
        <w:t xml:space="preserve">    （责任单位：╳╳╳（</w:t>
      </w:r>
      <w:r>
        <w:rPr>
          <w:rFonts w:hint="eastAsia"/>
          <w:color w:val="auto"/>
          <w:szCs w:val="32"/>
          <w:highlight w:val="none"/>
        </w:rPr>
        <w:t>科</w:t>
      </w:r>
      <w:r>
        <w:rPr>
          <w:color w:val="auto"/>
          <w:szCs w:val="32"/>
          <w:highlight w:val="none"/>
        </w:rPr>
        <w:t>、办）、╳╳╳协会，完成时间：╳╳╳年╳╳╳月底前）</w:t>
      </w:r>
    </w:p>
    <w:p>
      <w:pPr>
        <w:spacing w:line="600" w:lineRule="exact"/>
        <w:rPr>
          <w:color w:val="auto"/>
          <w:szCs w:val="32"/>
          <w:highlight w:val="none"/>
        </w:rPr>
      </w:pPr>
      <w:r>
        <w:rPr>
          <w:color w:val="auto"/>
          <w:szCs w:val="32"/>
          <w:highlight w:val="none"/>
        </w:rPr>
        <w:t xml:space="preserve">   </w:t>
      </w:r>
      <w:r>
        <w:rPr>
          <w:rFonts w:eastAsia="楷体_GB2312"/>
          <w:color w:val="auto"/>
          <w:szCs w:val="32"/>
          <w:highlight w:val="none"/>
        </w:rPr>
        <w:t xml:space="preserve"> （五）党建、外事分离</w:t>
      </w:r>
    </w:p>
    <w:p>
      <w:pPr>
        <w:spacing w:line="600" w:lineRule="exact"/>
        <w:rPr>
          <w:color w:val="auto"/>
          <w:szCs w:val="32"/>
          <w:highlight w:val="none"/>
        </w:rPr>
      </w:pPr>
      <w:r>
        <w:rPr>
          <w:color w:val="auto"/>
          <w:szCs w:val="32"/>
          <w:highlight w:val="none"/>
        </w:rPr>
        <w:t xml:space="preserve">    按照</w:t>
      </w:r>
      <w:r>
        <w:rPr>
          <w:rFonts w:hint="eastAsia"/>
          <w:color w:val="auto"/>
          <w:szCs w:val="32"/>
          <w:highlight w:val="none"/>
        </w:rPr>
        <w:t>市</w:t>
      </w:r>
      <w:r>
        <w:rPr>
          <w:color w:val="auto"/>
          <w:szCs w:val="32"/>
          <w:highlight w:val="none"/>
        </w:rPr>
        <w:t>委组织部要求，脱钩后╳╳╳协会的党建工作归口╳╳╳领导配合。</w:t>
      </w:r>
    </w:p>
    <w:p>
      <w:pPr>
        <w:spacing w:line="600" w:lineRule="exact"/>
        <w:rPr>
          <w:color w:val="auto"/>
          <w:szCs w:val="32"/>
          <w:highlight w:val="none"/>
        </w:rPr>
      </w:pPr>
      <w:r>
        <w:rPr>
          <w:color w:val="auto"/>
          <w:szCs w:val="32"/>
          <w:highlight w:val="none"/>
        </w:rPr>
        <w:t xml:space="preserve">    （责任单位：╳╳╳（</w:t>
      </w:r>
      <w:r>
        <w:rPr>
          <w:rFonts w:hint="eastAsia"/>
          <w:color w:val="auto"/>
          <w:szCs w:val="32"/>
          <w:highlight w:val="none"/>
        </w:rPr>
        <w:t>科</w:t>
      </w:r>
      <w:r>
        <w:rPr>
          <w:color w:val="auto"/>
          <w:szCs w:val="32"/>
          <w:highlight w:val="none"/>
        </w:rPr>
        <w:t>、办）、╳╳╳协会，完成时间：╳╳╳年╳╳╳月底前）</w:t>
      </w:r>
    </w:p>
    <w:p>
      <w:pPr>
        <w:spacing w:line="600" w:lineRule="exact"/>
        <w:rPr>
          <w:color w:val="auto"/>
          <w:szCs w:val="32"/>
          <w:highlight w:val="none"/>
        </w:rPr>
      </w:pPr>
      <w:r>
        <w:rPr>
          <w:color w:val="auto"/>
          <w:szCs w:val="32"/>
          <w:highlight w:val="none"/>
        </w:rPr>
        <w:t xml:space="preserve">    根据全省性行业协会商会与行政机关脱钩后外事及港澳台事务管理工作有关要求，按照属地化管理的原则，╳╳╳协会脱钩后，外事工作由行业协会商会所在地的外事管理部门管理。</w:t>
      </w:r>
    </w:p>
    <w:p>
      <w:pPr>
        <w:spacing w:line="600" w:lineRule="exact"/>
        <w:rPr>
          <w:color w:val="auto"/>
          <w:szCs w:val="32"/>
          <w:highlight w:val="none"/>
        </w:rPr>
      </w:pPr>
      <w:r>
        <w:rPr>
          <w:color w:val="auto"/>
          <w:szCs w:val="32"/>
          <w:highlight w:val="none"/>
        </w:rPr>
        <w:t>（责任单位：╳╳╳（</w:t>
      </w:r>
      <w:r>
        <w:rPr>
          <w:rFonts w:hint="eastAsia"/>
          <w:color w:val="auto"/>
          <w:szCs w:val="32"/>
          <w:highlight w:val="none"/>
        </w:rPr>
        <w:t>科</w:t>
      </w:r>
      <w:r>
        <w:rPr>
          <w:color w:val="auto"/>
          <w:szCs w:val="32"/>
          <w:highlight w:val="none"/>
        </w:rPr>
        <w:t>、办）、╳╳╳协会，完成时间：╳╳╳年╳╳╳月底前）</w:t>
      </w:r>
    </w:p>
    <w:p>
      <w:pPr>
        <w:spacing w:line="600" w:lineRule="exact"/>
        <w:rPr>
          <w:color w:val="auto"/>
          <w:szCs w:val="32"/>
          <w:highlight w:val="none"/>
        </w:rPr>
      </w:pPr>
      <w:r>
        <w:rPr>
          <w:color w:val="auto"/>
          <w:szCs w:val="32"/>
          <w:highlight w:val="none"/>
        </w:rPr>
        <w:t xml:space="preserve">  </w:t>
      </w:r>
      <w:r>
        <w:rPr>
          <w:rFonts w:eastAsia="黑体"/>
          <w:color w:val="auto"/>
          <w:szCs w:val="32"/>
          <w:highlight w:val="none"/>
        </w:rPr>
        <w:t xml:space="preserve">  四、实施步骤</w:t>
      </w:r>
    </w:p>
    <w:p>
      <w:pPr>
        <w:spacing w:line="600" w:lineRule="exact"/>
        <w:rPr>
          <w:color w:val="auto"/>
          <w:szCs w:val="32"/>
          <w:highlight w:val="none"/>
        </w:rPr>
      </w:pPr>
      <w:r>
        <w:rPr>
          <w:color w:val="auto"/>
          <w:szCs w:val="32"/>
          <w:highlight w:val="none"/>
        </w:rPr>
        <w:t xml:space="preserve">    （一）制定╳╳╳协会脱钩方案并抓好落实。</w:t>
      </w:r>
      <w:r>
        <w:rPr>
          <w:rFonts w:hint="eastAsia"/>
          <w:color w:val="auto"/>
          <w:szCs w:val="32"/>
          <w:highlight w:val="none"/>
        </w:rPr>
        <w:t>脱钩</w:t>
      </w:r>
      <w:r>
        <w:rPr>
          <w:color w:val="auto"/>
          <w:szCs w:val="32"/>
          <w:highlight w:val="none"/>
        </w:rPr>
        <w:t>方案批复后，╳╳╳局（委）和╳╳╳协会对人员、党建、外事、资产等事项，逐一落实。</w:t>
      </w:r>
    </w:p>
    <w:p>
      <w:pPr>
        <w:spacing w:line="600" w:lineRule="exact"/>
        <w:rPr>
          <w:color w:val="auto"/>
          <w:szCs w:val="32"/>
          <w:highlight w:val="none"/>
        </w:rPr>
      </w:pPr>
      <w:r>
        <w:rPr>
          <w:color w:val="auto"/>
          <w:szCs w:val="32"/>
          <w:highlight w:val="none"/>
        </w:rPr>
        <w:t xml:space="preserve">    （二）办理变更登记、备案或核准手续。╳╳╳协会脱钩后，法人、负责人、章程等事项发生变动时，于2020年9月底前，到登记管理机关办理各项变更登记、备案或核准手续。</w:t>
      </w:r>
    </w:p>
    <w:p>
      <w:pPr>
        <w:spacing w:line="600" w:lineRule="exact"/>
        <w:rPr>
          <w:color w:val="auto"/>
          <w:szCs w:val="32"/>
          <w:highlight w:val="none"/>
        </w:rPr>
      </w:pPr>
      <w:r>
        <w:rPr>
          <w:color w:val="auto"/>
          <w:szCs w:val="32"/>
          <w:highlight w:val="none"/>
        </w:rPr>
        <w:t xml:space="preserve">    （三）做好╳╳╳协会脱钩工作总结。2020年9月底前，按照工作要求，完成╳╳╳协会脱钩改革工作，并做好脱钩工作总结。</w:t>
      </w:r>
    </w:p>
    <w:p>
      <w:pPr>
        <w:spacing w:line="600" w:lineRule="exact"/>
        <w:rPr>
          <w:color w:val="auto"/>
          <w:szCs w:val="32"/>
          <w:highlight w:val="none"/>
        </w:rPr>
      </w:pPr>
      <w:r>
        <w:rPr>
          <w:color w:val="auto"/>
          <w:szCs w:val="32"/>
          <w:highlight w:val="none"/>
        </w:rPr>
        <w:t xml:space="preserve">   </w:t>
      </w:r>
      <w:r>
        <w:rPr>
          <w:rFonts w:eastAsia="黑体"/>
          <w:color w:val="auto"/>
          <w:szCs w:val="32"/>
          <w:highlight w:val="none"/>
        </w:rPr>
        <w:t xml:space="preserve"> 五、组织领导</w:t>
      </w:r>
    </w:p>
    <w:p>
      <w:pPr>
        <w:spacing w:line="600" w:lineRule="exact"/>
        <w:rPr>
          <w:color w:val="auto"/>
          <w:szCs w:val="32"/>
          <w:highlight w:val="none"/>
        </w:rPr>
      </w:pPr>
      <w:r>
        <w:rPr>
          <w:color w:val="auto"/>
          <w:szCs w:val="32"/>
          <w:highlight w:val="none"/>
        </w:rPr>
        <w:t xml:space="preserve">    ╳╳╳协会脱钩工作在╳╳╳局（委）脱钩工作组的领导下组织实施。╳╳╳协会成立脱钩工作小组，╳╳╳任脱钩工作小组组长</w:t>
      </w:r>
      <w:r>
        <w:rPr>
          <w:rFonts w:hint="eastAsia"/>
          <w:color w:val="auto"/>
          <w:szCs w:val="32"/>
          <w:highlight w:val="none"/>
        </w:rPr>
        <w:t>。</w:t>
      </w:r>
      <w:r>
        <w:rPr>
          <w:color w:val="auto"/>
          <w:szCs w:val="32"/>
          <w:highlight w:val="none"/>
        </w:rPr>
        <w:t>脱钩工作小组设立办公室，办公室设在╳╳╳，负责╳╳╳协会资产财务、人员、党建、外事等脱钩事宜的摸底，提出政府购买服务清单目录草案，制定人员、资产财务管理和工作连续衔接等方面的风险预案。</w:t>
      </w:r>
    </w:p>
    <w:p>
      <w:pPr>
        <w:spacing w:line="600" w:lineRule="exact"/>
        <w:rPr>
          <w:color w:val="auto"/>
          <w:szCs w:val="32"/>
          <w:highlight w:val="none"/>
        </w:rPr>
      </w:pPr>
      <w:r>
        <w:rPr>
          <w:rFonts w:hint="eastAsia"/>
          <w:color w:val="auto"/>
          <w:szCs w:val="32"/>
          <w:highlight w:val="none"/>
        </w:rPr>
        <w:t xml:space="preserve">    </w:t>
      </w:r>
      <w:r>
        <w:rPr>
          <w:color w:val="auto"/>
          <w:szCs w:val="32"/>
          <w:highlight w:val="none"/>
        </w:rPr>
        <w:t>╳╳╳局（委）组织</w:t>
      </w:r>
      <w:r>
        <w:rPr>
          <w:rFonts w:hint="eastAsia"/>
          <w:color w:val="auto"/>
          <w:szCs w:val="32"/>
          <w:highlight w:val="none"/>
        </w:rPr>
        <w:t>行业</w:t>
      </w:r>
      <w:r>
        <w:rPr>
          <w:color w:val="auto"/>
          <w:szCs w:val="32"/>
          <w:highlight w:val="none"/>
        </w:rPr>
        <w:t>协会商会深入学习《总体方案》《实施意见》，充分认识╳╳╳协会脱钩工作复杂性和艰巨性，吃透政策精神，准确领会改革任务和要求，做深、做细、做实各项前期准备工作，细致考虑好各个环节，制</w:t>
      </w:r>
      <w:r>
        <w:rPr>
          <w:rFonts w:hint="eastAsia"/>
          <w:color w:val="auto"/>
          <w:szCs w:val="32"/>
          <w:highlight w:val="none"/>
        </w:rPr>
        <w:t>定</w:t>
      </w:r>
      <w:r>
        <w:rPr>
          <w:color w:val="auto"/>
          <w:szCs w:val="32"/>
          <w:highlight w:val="none"/>
        </w:rPr>
        <w:t>风险预案，履行民主程序，深入开展思想动员，积极稳妥做好脱钩各项工作。</w:t>
      </w:r>
    </w:p>
    <w:p>
      <w:pPr>
        <w:spacing w:line="600" w:lineRule="exact"/>
        <w:rPr>
          <w:color w:val="auto"/>
          <w:szCs w:val="32"/>
          <w:highlight w:val="none"/>
        </w:rPr>
      </w:pPr>
      <w:r>
        <w:rPr>
          <w:rFonts w:hint="eastAsia"/>
          <w:color w:val="auto"/>
          <w:szCs w:val="32"/>
          <w:highlight w:val="none"/>
        </w:rPr>
        <w:t xml:space="preserve">    </w:t>
      </w:r>
      <w:r>
        <w:rPr>
          <w:color w:val="auto"/>
          <w:szCs w:val="32"/>
          <w:highlight w:val="none"/>
        </w:rPr>
        <w:t>本方案未涉及的其他事项，由╳╳╳协会脱钩工作小组协调研究解决。</w:t>
      </w:r>
    </w:p>
    <w:p>
      <w:pPr>
        <w:spacing w:line="600" w:lineRule="exact"/>
        <w:jc w:val="left"/>
        <w:rPr>
          <w:rFonts w:eastAsia="黑体"/>
          <w:color w:val="auto"/>
          <w:kern w:val="0"/>
          <w:szCs w:val="32"/>
          <w:highlight w:val="none"/>
        </w:rPr>
      </w:pPr>
      <w:r>
        <w:rPr>
          <w:color w:val="auto"/>
          <w:highlight w:val="none"/>
        </w:rPr>
        <w:br w:type="page"/>
      </w:r>
      <w:r>
        <w:rPr>
          <w:rFonts w:hint="eastAsia" w:ascii="黑体" w:hAnsi="黑体" w:eastAsia="黑体" w:cs="黑体"/>
          <w:color w:val="auto"/>
          <w:kern w:val="0"/>
          <w:szCs w:val="32"/>
          <w:highlight w:val="none"/>
        </w:rPr>
        <w:t>附件4</w:t>
      </w:r>
    </w:p>
    <w:p>
      <w:pPr>
        <w:spacing w:line="600" w:lineRule="exact"/>
        <w:jc w:val="center"/>
        <w:rPr>
          <w:rFonts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lang w:eastAsia="zh-CN"/>
        </w:rPr>
        <w:t>华龙区</w:t>
      </w:r>
      <w:r>
        <w:rPr>
          <w:rFonts w:hint="eastAsia" w:ascii="方正小标宋简体" w:hAnsi="方正小标宋简体" w:eastAsia="方正小标宋简体" w:cs="方正小标宋简体"/>
          <w:bCs/>
          <w:color w:val="auto"/>
          <w:sz w:val="44"/>
          <w:szCs w:val="44"/>
          <w:highlight w:val="none"/>
        </w:rPr>
        <w:t>行业协会商会脱钩单位完成情况表</w:t>
      </w:r>
    </w:p>
    <w:p>
      <w:pPr>
        <w:jc w:val="center"/>
        <w:rPr>
          <w:rFonts w:ascii="仿宋_GB2312" w:hAnsi="仿宋_GB2312" w:cs="仿宋_GB2312"/>
          <w:bCs/>
          <w:color w:val="auto"/>
          <w:sz w:val="28"/>
          <w:szCs w:val="28"/>
          <w:highlight w:val="none"/>
        </w:rPr>
      </w:pPr>
      <w:r>
        <w:rPr>
          <w:rFonts w:hint="eastAsia" w:ascii="楷体_GB2312" w:hAnsi="楷体_GB2312" w:eastAsia="楷体_GB2312" w:cs="楷体_GB2312"/>
          <w:bCs/>
          <w:color w:val="auto"/>
          <w:sz w:val="28"/>
          <w:szCs w:val="28"/>
          <w:highlight w:val="none"/>
        </w:rPr>
        <w:t>(参加脱钩的全</w:t>
      </w:r>
      <w:r>
        <w:rPr>
          <w:rFonts w:hint="eastAsia" w:ascii="楷体_GB2312" w:hAnsi="楷体_GB2312" w:eastAsia="楷体_GB2312" w:cs="楷体_GB2312"/>
          <w:bCs/>
          <w:color w:val="auto"/>
          <w:sz w:val="28"/>
          <w:szCs w:val="28"/>
          <w:highlight w:val="none"/>
          <w:lang w:eastAsia="zh-CN"/>
        </w:rPr>
        <w:t>区</w:t>
      </w:r>
      <w:r>
        <w:rPr>
          <w:rFonts w:hint="eastAsia" w:ascii="楷体_GB2312" w:hAnsi="楷体_GB2312" w:eastAsia="楷体_GB2312" w:cs="楷体_GB2312"/>
          <w:bCs/>
          <w:color w:val="auto"/>
          <w:sz w:val="28"/>
          <w:szCs w:val="28"/>
          <w:highlight w:val="none"/>
        </w:rPr>
        <w:t>行业协会商会填写、业务主管（指导）单位审核）</w:t>
      </w:r>
    </w:p>
    <w:p>
      <w:pPr>
        <w:spacing w:line="400" w:lineRule="exact"/>
        <w:rPr>
          <w:rFonts w:ascii="仿宋_GB2312" w:hAnsi="仿宋_GB2312" w:cs="仿宋_GB2312"/>
          <w:bCs/>
          <w:color w:val="auto"/>
          <w:sz w:val="28"/>
          <w:szCs w:val="28"/>
          <w:highlight w:val="none"/>
        </w:rPr>
      </w:pPr>
    </w:p>
    <w:p>
      <w:pPr>
        <w:rPr>
          <w:rFonts w:ascii="仿宋_GB2312" w:hAnsi="仿宋_GB2312" w:cs="仿宋_GB2312"/>
          <w:bCs/>
          <w:color w:val="auto"/>
          <w:sz w:val="24"/>
          <w:highlight w:val="none"/>
        </w:rPr>
      </w:pPr>
      <w:r>
        <w:rPr>
          <w:rFonts w:hint="eastAsia" w:ascii="仿宋_GB2312" w:hAnsi="仿宋_GB2312" w:cs="仿宋_GB2312"/>
          <w:bCs/>
          <w:color w:val="auto"/>
          <w:spacing w:val="-20"/>
          <w:sz w:val="24"/>
          <w:highlight w:val="none"/>
        </w:rPr>
        <w:t>填表单位（盖章）</w:t>
      </w:r>
      <w:r>
        <w:rPr>
          <w:rFonts w:hint="eastAsia" w:ascii="仿宋_GB2312" w:hAnsi="仿宋_GB2312" w:cs="仿宋_GB2312"/>
          <w:bCs/>
          <w:color w:val="auto"/>
          <w:sz w:val="24"/>
          <w:highlight w:val="none"/>
        </w:rPr>
        <w:t>：</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填表人：</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电话：</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 xml:space="preserve">   </w:t>
      </w:r>
    </w:p>
    <w:p>
      <w:pPr>
        <w:jc w:val="left"/>
        <w:rPr>
          <w:rFonts w:ascii="仿宋_GB2312" w:hAnsi="仿宋_GB2312" w:cs="仿宋_GB2312"/>
          <w:bCs/>
          <w:color w:val="auto"/>
          <w:sz w:val="28"/>
          <w:szCs w:val="28"/>
          <w:highlight w:val="none"/>
        </w:rPr>
      </w:pPr>
      <w:r>
        <w:rPr>
          <w:rFonts w:hint="eastAsia" w:ascii="仿宋_GB2312" w:hAnsi="仿宋_GB2312" w:cs="仿宋_GB2312"/>
          <w:bCs/>
          <w:color w:val="auto"/>
          <w:spacing w:val="-30"/>
          <w:sz w:val="24"/>
          <w:highlight w:val="none"/>
        </w:rPr>
        <w:t>业务主管（指导）单位（盖章）：</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联系人：</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4"/>
          <w:highlight w:val="none"/>
        </w:rPr>
        <w:t>电话：</w:t>
      </w:r>
      <w:r>
        <w:rPr>
          <w:rFonts w:hint="eastAsia" w:ascii="仿宋_GB2312" w:hAnsi="仿宋_GB2312" w:cs="仿宋_GB2312"/>
          <w:bCs/>
          <w:color w:val="auto"/>
          <w:sz w:val="24"/>
          <w:highlight w:val="none"/>
          <w:u w:val="single"/>
        </w:rPr>
        <w:t xml:space="preserve">         </w:t>
      </w:r>
      <w:r>
        <w:rPr>
          <w:rFonts w:hint="eastAsia" w:ascii="仿宋_GB2312" w:hAnsi="仿宋_GB2312" w:cs="仿宋_GB2312"/>
          <w:bCs/>
          <w:color w:val="auto"/>
          <w:sz w:val="28"/>
          <w:szCs w:val="28"/>
          <w:highlight w:val="none"/>
          <w:u w:val="single"/>
        </w:rPr>
        <w:t xml:space="preserve">       </w:t>
      </w:r>
      <w:r>
        <w:rPr>
          <w:rFonts w:hint="eastAsia" w:ascii="仿宋_GB2312" w:hAnsi="仿宋_GB2312" w:cs="仿宋_GB2312"/>
          <w:bCs/>
          <w:color w:val="auto"/>
          <w:sz w:val="28"/>
          <w:szCs w:val="28"/>
          <w:highlight w:val="none"/>
        </w:rPr>
        <w:t xml:space="preserve">   </w:t>
      </w:r>
    </w:p>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（一）基本信息情况</w:t>
      </w:r>
    </w:p>
    <w:tbl>
      <w:tblPr>
        <w:tblStyle w:val="4"/>
        <w:tblpPr w:leftFromText="181" w:rightFromText="181" w:vertAnchor="text" w:tblpXSpec="center" w:tblpY="114"/>
        <w:tblOverlap w:val="never"/>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3479"/>
        <w:gridCol w:w="1440"/>
        <w:gridCol w:w="25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vAlign w:val="center"/>
          </w:tcPr>
          <w:p>
            <w:pPr>
              <w:spacing w:line="30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名    称</w:t>
            </w:r>
          </w:p>
        </w:tc>
        <w:tc>
          <w:tcPr>
            <w:tcW w:w="3479" w:type="dxa"/>
            <w:vAlign w:val="center"/>
          </w:tcPr>
          <w:p>
            <w:pPr>
              <w:spacing w:line="300" w:lineRule="exact"/>
              <w:rPr>
                <w:rFonts w:ascii="仿宋_GB2312" w:hAnsi="仿宋_GB2312" w:cs="仿宋_GB2312"/>
                <w:color w:val="auto"/>
                <w:sz w:val="24"/>
                <w:highlight w:val="none"/>
              </w:rPr>
            </w:pPr>
          </w:p>
        </w:tc>
        <w:tc>
          <w:tcPr>
            <w:tcW w:w="1440" w:type="dxa"/>
            <w:vAlign w:val="center"/>
          </w:tcPr>
          <w:p>
            <w:pPr>
              <w:spacing w:line="300" w:lineRule="exact"/>
              <w:rPr>
                <w:rFonts w:ascii="仿宋_GB2312" w:hAnsi="仿宋_GB2312" w:cs="仿宋_GB2312"/>
                <w:color w:val="auto"/>
                <w:spacing w:val="-10"/>
                <w:sz w:val="24"/>
                <w:highlight w:val="none"/>
              </w:rPr>
            </w:pPr>
            <w:r>
              <w:rPr>
                <w:rFonts w:hint="eastAsia" w:ascii="仿宋_GB2312" w:hAnsi="仿宋_GB2312" w:cs="仿宋_GB2312"/>
                <w:color w:val="auto"/>
                <w:spacing w:val="-10"/>
                <w:sz w:val="24"/>
                <w:highlight w:val="none"/>
              </w:rPr>
              <w:t>法定代表人</w:t>
            </w:r>
          </w:p>
        </w:tc>
        <w:tc>
          <w:tcPr>
            <w:tcW w:w="2500" w:type="dxa"/>
            <w:vAlign w:val="center"/>
          </w:tcPr>
          <w:p>
            <w:pPr>
              <w:spacing w:line="300" w:lineRule="exact"/>
              <w:rPr>
                <w:rFonts w:ascii="仿宋_GB2312" w:hAnsi="仿宋_GB2312" w:cs="仿宋_GB2312"/>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vAlign w:val="center"/>
          </w:tcPr>
          <w:p>
            <w:pPr>
              <w:spacing w:line="30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理 事 长</w:t>
            </w:r>
          </w:p>
        </w:tc>
        <w:tc>
          <w:tcPr>
            <w:tcW w:w="3479" w:type="dxa"/>
            <w:vAlign w:val="center"/>
          </w:tcPr>
          <w:p>
            <w:pPr>
              <w:spacing w:line="300" w:lineRule="exact"/>
              <w:rPr>
                <w:rFonts w:ascii="仿宋_GB2312" w:hAnsi="仿宋_GB2312" w:cs="仿宋_GB2312"/>
                <w:color w:val="auto"/>
                <w:sz w:val="24"/>
                <w:highlight w:val="none"/>
              </w:rPr>
            </w:pPr>
          </w:p>
        </w:tc>
        <w:tc>
          <w:tcPr>
            <w:tcW w:w="1440" w:type="dxa"/>
            <w:vAlign w:val="center"/>
          </w:tcPr>
          <w:p>
            <w:pPr>
              <w:spacing w:line="30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秘 书 长</w:t>
            </w:r>
          </w:p>
        </w:tc>
        <w:tc>
          <w:tcPr>
            <w:tcW w:w="2500" w:type="dxa"/>
            <w:vAlign w:val="center"/>
          </w:tcPr>
          <w:p>
            <w:pPr>
              <w:spacing w:line="300" w:lineRule="exact"/>
              <w:rPr>
                <w:rFonts w:ascii="仿宋_GB2312" w:hAnsi="仿宋_GB2312" w:cs="仿宋_GB2312"/>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44" w:type="dxa"/>
            <w:vAlign w:val="center"/>
          </w:tcPr>
          <w:p>
            <w:pPr>
              <w:spacing w:line="300" w:lineRule="exact"/>
              <w:jc w:val="center"/>
              <w:rPr>
                <w:rFonts w:ascii="仿宋_GB2312" w:hAnsi="仿宋_GB2312" w:cs="仿宋_GB2312"/>
                <w:color w:val="auto"/>
                <w:sz w:val="24"/>
                <w:highlight w:val="none"/>
              </w:rPr>
            </w:pPr>
            <w:r>
              <w:rPr>
                <w:rFonts w:hint="eastAsia" w:ascii="仿宋_GB2312" w:hAnsi="仿宋_GB2312" w:cs="仿宋_GB2312"/>
                <w:color w:val="auto"/>
                <w:sz w:val="24"/>
                <w:highlight w:val="none"/>
              </w:rPr>
              <w:t>住所地址</w:t>
            </w:r>
          </w:p>
        </w:tc>
        <w:tc>
          <w:tcPr>
            <w:tcW w:w="7419" w:type="dxa"/>
            <w:gridSpan w:val="3"/>
            <w:vAlign w:val="center"/>
          </w:tcPr>
          <w:p>
            <w:pPr>
              <w:spacing w:line="300" w:lineRule="exact"/>
              <w:rPr>
                <w:rFonts w:ascii="仿宋_GB2312" w:hAnsi="仿宋_GB2312" w:cs="仿宋_GB2312"/>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（二）机构分离情况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28"/>
        <w:gridCol w:w="68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事业单位法人和事业编制的脱钩情况</w:t>
            </w: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xml:space="preserve">□核销事业编制（     ）个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□划转（           ）管理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□未完成脱钩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与行政机关或者事业单位合署办公的脱钩情况</w:t>
            </w:r>
          </w:p>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□继续使用，但签署租赁合同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□分离后单独租赁办公用房，地址：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□分离后单独购买办公用房，地址：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28" w:type="dxa"/>
            <w:vMerge w:val="continue"/>
            <w:vAlign w:val="center"/>
          </w:tcPr>
          <w:p>
            <w:pPr>
              <w:spacing w:line="260" w:lineRule="exact"/>
              <w:jc w:val="center"/>
              <w:rPr>
                <w:rFonts w:ascii="仿宋_GB2312" w:hAnsi="仿宋_GB2312" w:cs="仿宋_GB2312"/>
                <w:bCs/>
                <w:color w:val="auto"/>
                <w:sz w:val="24"/>
                <w:highlight w:val="none"/>
              </w:rPr>
            </w:pPr>
          </w:p>
        </w:tc>
        <w:tc>
          <w:tcPr>
            <w:tcW w:w="683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□未完成脱钩</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（三）职能分离情况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68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法律法规规定情形之外行业协会商会行使行政职能的脱钩情况</w:t>
            </w: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□已移交有关部门（   ）项，分别为：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w:t>
            </w:r>
          </w:p>
        </w:tc>
      </w:tr>
    </w:tbl>
    <w:p>
      <w:pPr>
        <w:spacing w:line="40" w:lineRule="exact"/>
        <w:rPr>
          <w:rFonts w:ascii="仿宋_GB2312" w:hAnsi="仿宋_GB2312" w:cs="仿宋_GB2312"/>
          <w:color w:val="auto"/>
          <w:highlight w:val="none"/>
        </w:rPr>
      </w:pPr>
      <w:r>
        <w:rPr>
          <w:rFonts w:hint="eastAsia" w:ascii="仿宋_GB2312" w:hAnsi="仿宋_GB2312" w:cs="仿宋_GB2312"/>
          <w:color w:val="auto"/>
          <w:highlight w:val="none"/>
        </w:rPr>
        <w:br w:type="page"/>
      </w:r>
    </w:p>
    <w:tbl>
      <w:tblPr>
        <w:tblStyle w:val="4"/>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682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法律法规规定情形之外行业协会商会行使行政职能的脱钩情况</w:t>
            </w: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□未完成移交（    ）项，分别为：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脱钩后有关部门向行业协会商会转移职能和事项</w:t>
            </w: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共转移（    ）项职能和事项，具体清单目录为：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jc w:val="center"/>
              <w:rPr>
                <w:rFonts w:ascii="仿宋_GB2312" w:hAnsi="仿宋_GB2312" w:cs="仿宋_GB2312"/>
                <w:bCs/>
                <w:color w:val="auto"/>
                <w:sz w:val="24"/>
                <w:highlight w:val="none"/>
              </w:rPr>
            </w:pPr>
          </w:p>
        </w:tc>
        <w:tc>
          <w:tcPr>
            <w:tcW w:w="6822"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（四）资产财务分离情况</w:t>
      </w:r>
    </w:p>
    <w:tbl>
      <w:tblPr>
        <w:tblStyle w:val="4"/>
        <w:tblW w:w="907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41"/>
        <w:gridCol w:w="2383"/>
        <w:gridCol w:w="2177"/>
        <w:gridCol w:w="24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脱钩后执行会计制度情况</w:t>
            </w: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xml:space="preserve">□《民间非营利组织会计制度》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□其他会计制度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脱钩后单独开立银行账户情况</w:t>
            </w: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□单独开立账户，开户行、开户名称及账号为：（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□未单独开立账户，与何单位共用（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脱钩后单独建账、独立核算情况</w:t>
            </w: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□已单独建账、独立核算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□未单独建账、独立核算，账务挂靠在何单位（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脱钩后财政预算资金处理方式</w:t>
            </w: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□预算资金额度（    ）万元，具体处理方式（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脱钩后承接政府购买服务情况</w:t>
            </w: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□未承接政府购买服务事项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ind w:left="235" w:hanging="235" w:hangingChars="98"/>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□承接政府购买服务事项（   ）项，资金（   ）万元，具体清单目录为：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使用行政办公用房脱钩情况</w:t>
            </w: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□符合核定面积（     ）㎡，脱钩后具体处理方式（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7033" w:type="dxa"/>
            <w:gridSpan w:val="3"/>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□清理腾退超出核定面积（     ）㎡，签订书面移交协议</w:t>
            </w:r>
          </w:p>
          <w:p>
            <w:pPr>
              <w:spacing w:line="260" w:lineRule="exact"/>
              <w:ind w:firstLine="117" w:firstLineChars="49"/>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（□是□否）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脱钩后固定资产</w:t>
            </w:r>
          </w:p>
        </w:tc>
        <w:tc>
          <w:tcPr>
            <w:tcW w:w="2383"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国有（    ）万元</w:t>
            </w:r>
          </w:p>
        </w:tc>
        <w:tc>
          <w:tcPr>
            <w:tcW w:w="2177" w:type="dxa"/>
            <w:vMerge w:val="restart"/>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脱钩后流动资产</w:t>
            </w:r>
          </w:p>
        </w:tc>
        <w:tc>
          <w:tcPr>
            <w:tcW w:w="2473"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国有（    ）万元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041" w:type="dxa"/>
            <w:vMerge w:val="continue"/>
            <w:vAlign w:val="center"/>
          </w:tcPr>
          <w:p>
            <w:pPr>
              <w:spacing w:line="260" w:lineRule="exact"/>
              <w:rPr>
                <w:rFonts w:ascii="仿宋_GB2312" w:hAnsi="仿宋_GB2312" w:cs="仿宋_GB2312"/>
                <w:bCs/>
                <w:color w:val="auto"/>
                <w:sz w:val="24"/>
                <w:highlight w:val="none"/>
              </w:rPr>
            </w:pPr>
          </w:p>
        </w:tc>
        <w:tc>
          <w:tcPr>
            <w:tcW w:w="2383"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其他（    ）万元</w:t>
            </w:r>
          </w:p>
        </w:tc>
        <w:tc>
          <w:tcPr>
            <w:tcW w:w="2177" w:type="dxa"/>
            <w:vMerge w:val="continue"/>
            <w:vAlign w:val="center"/>
          </w:tcPr>
          <w:p>
            <w:pPr>
              <w:spacing w:line="260" w:lineRule="exact"/>
              <w:rPr>
                <w:rFonts w:ascii="仿宋_GB2312" w:hAnsi="仿宋_GB2312" w:cs="仿宋_GB2312"/>
                <w:bCs/>
                <w:color w:val="auto"/>
                <w:sz w:val="24"/>
                <w:highlight w:val="none"/>
              </w:rPr>
            </w:pPr>
          </w:p>
        </w:tc>
        <w:tc>
          <w:tcPr>
            <w:tcW w:w="2473"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其他（    ）万元</w:t>
            </w: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（五）人员管理分离情况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994"/>
        <w:gridCol w:w="611"/>
        <w:gridCol w:w="520"/>
        <w:gridCol w:w="2548"/>
        <w:gridCol w:w="1594"/>
        <w:gridCol w:w="15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05" w:type="dxa"/>
            <w:gridSpan w:val="2"/>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现职和不担任现职但未办理退（离）休手续的公务员在行业协会商会兼职任职的脱钩情况</w:t>
            </w: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2605" w:type="dxa"/>
            <w:gridSpan w:val="2"/>
            <w:vMerge w:val="continue"/>
            <w:vAlign w:val="center"/>
          </w:tcPr>
          <w:p>
            <w:pPr>
              <w:spacing w:line="260" w:lineRule="exact"/>
              <w:rPr>
                <w:rFonts w:ascii="仿宋_GB2312" w:hAnsi="仿宋_GB2312" w:cs="仿宋_GB2312"/>
                <w:bCs/>
                <w:color w:val="auto"/>
                <w:sz w:val="24"/>
                <w:highlight w:val="none"/>
              </w:rPr>
            </w:pP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脱钩后退出行业协会商会工作（  ）人次，其中党和国家领导人（  ）人次、省部级（  ）人次、地厅级（  ）人次，其他（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7" w:hRule="atLeast"/>
        </w:trPr>
        <w:tc>
          <w:tcPr>
            <w:tcW w:w="2605" w:type="dxa"/>
            <w:gridSpan w:val="2"/>
            <w:vMerge w:val="continue"/>
            <w:vAlign w:val="center"/>
          </w:tcPr>
          <w:p>
            <w:pPr>
              <w:spacing w:line="260" w:lineRule="exact"/>
              <w:rPr>
                <w:rFonts w:ascii="仿宋_GB2312" w:hAnsi="仿宋_GB2312" w:cs="仿宋_GB2312"/>
                <w:bCs/>
                <w:color w:val="auto"/>
                <w:sz w:val="24"/>
                <w:highlight w:val="none"/>
              </w:rPr>
            </w:pP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脱钩后留在行业协会商会工作，退出公务员管理（  ）人次，其中党和国家领导人（  ）人次、省部级（  ）人次、地厅级（  ）人次，其他（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605" w:type="dxa"/>
            <w:gridSpan w:val="2"/>
            <w:vMerge w:val="restart"/>
            <w:vAlign w:val="center"/>
          </w:tcPr>
          <w:p>
            <w:pPr>
              <w:spacing w:line="260" w:lineRule="exact"/>
              <w:jc w:val="lef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领导干部退（离）休未满三年在行业协会商会兼职的脱钩情况</w:t>
            </w: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605" w:type="dxa"/>
            <w:gridSpan w:val="2"/>
            <w:vMerge w:val="continue"/>
            <w:vAlign w:val="center"/>
          </w:tcPr>
          <w:p>
            <w:pPr>
              <w:spacing w:line="260" w:lineRule="exact"/>
              <w:jc w:val="left"/>
              <w:rPr>
                <w:rFonts w:ascii="仿宋_GB2312" w:hAnsi="仿宋_GB2312" w:cs="仿宋_GB2312"/>
                <w:bCs/>
                <w:color w:val="auto"/>
                <w:sz w:val="24"/>
                <w:highlight w:val="none"/>
              </w:rPr>
            </w:pP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脱钩后退出兼任职（  ）人次，其中党和国家领导人（  ）人次、省部级（  ）人次、地厅级（  ）人次，其他（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2605" w:type="dxa"/>
            <w:gridSpan w:val="2"/>
            <w:vMerge w:val="continue"/>
            <w:vAlign w:val="center"/>
          </w:tcPr>
          <w:p>
            <w:pPr>
              <w:spacing w:line="260" w:lineRule="exact"/>
              <w:jc w:val="center"/>
              <w:rPr>
                <w:rFonts w:ascii="仿宋_GB2312" w:hAnsi="仿宋_GB2312" w:cs="仿宋_GB2312"/>
                <w:bCs/>
                <w:color w:val="auto"/>
                <w:sz w:val="24"/>
                <w:highlight w:val="none"/>
              </w:rPr>
            </w:pP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脱钩后，继续兼任职（  ）人次，其中党和国家领导人（  ）人次、省部级（  ）人次、地厅级（  ）人次，其他（  ）人次。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605" w:type="dxa"/>
            <w:gridSpan w:val="2"/>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事业编制脱钩情况</w:t>
            </w: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2605" w:type="dxa"/>
            <w:gridSpan w:val="2"/>
            <w:vMerge w:val="continue"/>
            <w:vAlign w:val="center"/>
          </w:tcPr>
          <w:p>
            <w:pPr>
              <w:spacing w:line="260" w:lineRule="exact"/>
              <w:rPr>
                <w:rFonts w:ascii="仿宋_GB2312" w:hAnsi="仿宋_GB2312" w:cs="仿宋_GB2312"/>
                <w:bCs/>
                <w:color w:val="auto"/>
                <w:sz w:val="24"/>
                <w:highlight w:val="none"/>
              </w:rPr>
            </w:pPr>
          </w:p>
        </w:tc>
        <w:tc>
          <w:tcPr>
            <w:tcW w:w="6258" w:type="dxa"/>
            <w:gridSpan w:val="4"/>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w:t>
            </w:r>
            <w:r>
              <w:rPr>
                <w:rFonts w:hint="eastAsia" w:ascii="仿宋_GB2312" w:hAnsi="仿宋_GB2312" w:cs="仿宋_GB2312"/>
                <w:bCs/>
                <w:color w:val="auto"/>
                <w:spacing w:val="-4"/>
                <w:sz w:val="24"/>
                <w:highlight w:val="none"/>
              </w:rPr>
              <w:t>钩后核销事业编制（  ）个，保留事业编制（  ）个</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63" w:type="dxa"/>
            <w:gridSpan w:val="6"/>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现职和不担任现职但未办理退（离）休手续的公务员情况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9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兼任行业协会</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商会职务</w:t>
            </w:r>
          </w:p>
        </w:tc>
        <w:tc>
          <w:tcPr>
            <w:tcW w:w="1131" w:type="dxa"/>
            <w:gridSpan w:val="2"/>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姓 名</w:t>
            </w:r>
          </w:p>
        </w:tc>
        <w:tc>
          <w:tcPr>
            <w:tcW w:w="2548"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单  位</w:t>
            </w:r>
          </w:p>
        </w:tc>
        <w:tc>
          <w:tcPr>
            <w:tcW w:w="159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职 务</w:t>
            </w:r>
          </w:p>
        </w:tc>
        <w:tc>
          <w:tcPr>
            <w:tcW w:w="1596"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94" w:type="dxa"/>
            <w:vAlign w:val="center"/>
          </w:tcPr>
          <w:p>
            <w:pPr>
              <w:spacing w:line="260" w:lineRule="exact"/>
              <w:jc w:val="center"/>
              <w:rPr>
                <w:rFonts w:ascii="仿宋_GB2312" w:hAnsi="仿宋_GB2312" w:cs="仿宋_GB2312"/>
                <w:bCs/>
                <w:color w:val="auto"/>
                <w:sz w:val="24"/>
                <w:highlight w:val="none"/>
              </w:rPr>
            </w:pPr>
          </w:p>
        </w:tc>
        <w:tc>
          <w:tcPr>
            <w:tcW w:w="1131" w:type="dxa"/>
            <w:gridSpan w:val="2"/>
            <w:vAlign w:val="center"/>
          </w:tcPr>
          <w:p>
            <w:pPr>
              <w:spacing w:line="260" w:lineRule="exact"/>
              <w:jc w:val="center"/>
              <w:rPr>
                <w:rFonts w:ascii="仿宋_GB2312" w:hAnsi="仿宋_GB2312" w:cs="仿宋_GB2312"/>
                <w:bCs/>
                <w:color w:val="auto"/>
                <w:sz w:val="24"/>
                <w:highlight w:val="none"/>
              </w:rPr>
            </w:pPr>
          </w:p>
        </w:tc>
        <w:tc>
          <w:tcPr>
            <w:tcW w:w="2548" w:type="dxa"/>
            <w:vAlign w:val="center"/>
          </w:tcPr>
          <w:p>
            <w:pPr>
              <w:spacing w:line="260" w:lineRule="exact"/>
              <w:jc w:val="center"/>
              <w:rPr>
                <w:rFonts w:ascii="仿宋_GB2312" w:hAnsi="仿宋_GB2312" w:cs="仿宋_GB2312"/>
                <w:bCs/>
                <w:color w:val="auto"/>
                <w:sz w:val="24"/>
                <w:highlight w:val="none"/>
              </w:rPr>
            </w:pPr>
          </w:p>
        </w:tc>
        <w:tc>
          <w:tcPr>
            <w:tcW w:w="1594" w:type="dxa"/>
            <w:vAlign w:val="center"/>
          </w:tcPr>
          <w:p>
            <w:pPr>
              <w:spacing w:line="260" w:lineRule="exact"/>
              <w:jc w:val="center"/>
              <w:rPr>
                <w:rFonts w:ascii="仿宋_GB2312" w:hAnsi="仿宋_GB2312" w:cs="仿宋_GB2312"/>
                <w:bCs/>
                <w:color w:val="auto"/>
                <w:sz w:val="24"/>
                <w:highlight w:val="none"/>
              </w:rPr>
            </w:pPr>
          </w:p>
        </w:tc>
        <w:tc>
          <w:tcPr>
            <w:tcW w:w="1596" w:type="dxa"/>
            <w:vAlign w:val="center"/>
          </w:tcPr>
          <w:p>
            <w:pPr>
              <w:spacing w:line="260" w:lineRule="exact"/>
              <w:jc w:val="center"/>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94" w:type="dxa"/>
            <w:vAlign w:val="center"/>
          </w:tcPr>
          <w:p>
            <w:pPr>
              <w:spacing w:line="260" w:lineRule="exact"/>
              <w:jc w:val="center"/>
              <w:rPr>
                <w:rFonts w:ascii="仿宋_GB2312" w:hAnsi="仿宋_GB2312" w:cs="仿宋_GB2312"/>
                <w:bCs/>
                <w:color w:val="auto"/>
                <w:sz w:val="24"/>
                <w:highlight w:val="none"/>
              </w:rPr>
            </w:pPr>
          </w:p>
        </w:tc>
        <w:tc>
          <w:tcPr>
            <w:tcW w:w="1131" w:type="dxa"/>
            <w:gridSpan w:val="2"/>
            <w:vAlign w:val="center"/>
          </w:tcPr>
          <w:p>
            <w:pPr>
              <w:spacing w:line="260" w:lineRule="exact"/>
              <w:jc w:val="center"/>
              <w:rPr>
                <w:rFonts w:ascii="仿宋_GB2312" w:hAnsi="仿宋_GB2312" w:cs="仿宋_GB2312"/>
                <w:bCs/>
                <w:color w:val="auto"/>
                <w:sz w:val="24"/>
                <w:highlight w:val="none"/>
              </w:rPr>
            </w:pPr>
          </w:p>
        </w:tc>
        <w:tc>
          <w:tcPr>
            <w:tcW w:w="2548" w:type="dxa"/>
            <w:vAlign w:val="center"/>
          </w:tcPr>
          <w:p>
            <w:pPr>
              <w:spacing w:line="260" w:lineRule="exact"/>
              <w:jc w:val="center"/>
              <w:rPr>
                <w:rFonts w:ascii="仿宋_GB2312" w:hAnsi="仿宋_GB2312" w:cs="仿宋_GB2312"/>
                <w:bCs/>
                <w:color w:val="auto"/>
                <w:sz w:val="24"/>
                <w:highlight w:val="none"/>
              </w:rPr>
            </w:pPr>
          </w:p>
        </w:tc>
        <w:tc>
          <w:tcPr>
            <w:tcW w:w="1594" w:type="dxa"/>
            <w:vAlign w:val="center"/>
          </w:tcPr>
          <w:p>
            <w:pPr>
              <w:spacing w:line="260" w:lineRule="exact"/>
              <w:jc w:val="center"/>
              <w:rPr>
                <w:rFonts w:ascii="仿宋_GB2312" w:hAnsi="仿宋_GB2312" w:cs="仿宋_GB2312"/>
                <w:bCs/>
                <w:color w:val="auto"/>
                <w:sz w:val="24"/>
                <w:highlight w:val="none"/>
              </w:rPr>
            </w:pPr>
          </w:p>
        </w:tc>
        <w:tc>
          <w:tcPr>
            <w:tcW w:w="1596" w:type="dxa"/>
            <w:vAlign w:val="center"/>
          </w:tcPr>
          <w:p>
            <w:pPr>
              <w:spacing w:line="260" w:lineRule="exact"/>
              <w:jc w:val="center"/>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863" w:type="dxa"/>
            <w:gridSpan w:val="6"/>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退（离）休未满三年的领导干部情况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99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兼任行业协会</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商会职务</w:t>
            </w:r>
          </w:p>
        </w:tc>
        <w:tc>
          <w:tcPr>
            <w:tcW w:w="1131" w:type="dxa"/>
            <w:gridSpan w:val="2"/>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姓 名</w:t>
            </w:r>
          </w:p>
        </w:tc>
        <w:tc>
          <w:tcPr>
            <w:tcW w:w="2548"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原单位和职务</w:t>
            </w:r>
          </w:p>
        </w:tc>
        <w:tc>
          <w:tcPr>
            <w:tcW w:w="1594" w:type="dxa"/>
            <w:vAlign w:val="center"/>
          </w:tcPr>
          <w:p>
            <w:pPr>
              <w:spacing w:line="260" w:lineRule="exact"/>
              <w:jc w:val="center"/>
              <w:rPr>
                <w:rFonts w:ascii="仿宋_GB2312" w:hAnsi="仿宋_GB2312" w:cs="仿宋_GB2312"/>
                <w:bCs/>
                <w:color w:val="auto"/>
                <w:spacing w:val="-20"/>
                <w:sz w:val="24"/>
                <w:highlight w:val="none"/>
              </w:rPr>
            </w:pPr>
            <w:r>
              <w:rPr>
                <w:rFonts w:hint="eastAsia" w:ascii="仿宋_GB2312" w:hAnsi="仿宋_GB2312" w:cs="仿宋_GB2312"/>
                <w:bCs/>
                <w:color w:val="auto"/>
                <w:spacing w:val="-20"/>
                <w:sz w:val="24"/>
                <w:highlight w:val="none"/>
              </w:rPr>
              <w:t>退（离）休</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时 间</w:t>
            </w:r>
          </w:p>
        </w:tc>
        <w:tc>
          <w:tcPr>
            <w:tcW w:w="1596"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94" w:type="dxa"/>
            <w:vAlign w:val="center"/>
          </w:tcPr>
          <w:p>
            <w:pPr>
              <w:spacing w:line="260" w:lineRule="exact"/>
              <w:jc w:val="center"/>
              <w:rPr>
                <w:rFonts w:ascii="仿宋_GB2312" w:hAnsi="仿宋_GB2312" w:cs="仿宋_GB2312"/>
                <w:bCs/>
                <w:color w:val="auto"/>
                <w:sz w:val="24"/>
                <w:highlight w:val="none"/>
              </w:rPr>
            </w:pPr>
          </w:p>
        </w:tc>
        <w:tc>
          <w:tcPr>
            <w:tcW w:w="1131" w:type="dxa"/>
            <w:gridSpan w:val="2"/>
            <w:vAlign w:val="center"/>
          </w:tcPr>
          <w:p>
            <w:pPr>
              <w:spacing w:line="260" w:lineRule="exact"/>
              <w:jc w:val="center"/>
              <w:rPr>
                <w:rFonts w:ascii="仿宋_GB2312" w:hAnsi="仿宋_GB2312" w:cs="仿宋_GB2312"/>
                <w:bCs/>
                <w:color w:val="auto"/>
                <w:sz w:val="24"/>
                <w:highlight w:val="none"/>
              </w:rPr>
            </w:pPr>
          </w:p>
        </w:tc>
        <w:tc>
          <w:tcPr>
            <w:tcW w:w="2548" w:type="dxa"/>
            <w:vAlign w:val="center"/>
          </w:tcPr>
          <w:p>
            <w:pPr>
              <w:spacing w:line="260" w:lineRule="exact"/>
              <w:jc w:val="center"/>
              <w:rPr>
                <w:rFonts w:ascii="仿宋_GB2312" w:hAnsi="仿宋_GB2312" w:cs="仿宋_GB2312"/>
                <w:bCs/>
                <w:color w:val="auto"/>
                <w:sz w:val="24"/>
                <w:highlight w:val="none"/>
              </w:rPr>
            </w:pPr>
          </w:p>
        </w:tc>
        <w:tc>
          <w:tcPr>
            <w:tcW w:w="1594" w:type="dxa"/>
            <w:vAlign w:val="center"/>
          </w:tcPr>
          <w:p>
            <w:pPr>
              <w:spacing w:line="260" w:lineRule="exact"/>
              <w:jc w:val="center"/>
              <w:rPr>
                <w:rFonts w:ascii="仿宋_GB2312" w:hAnsi="仿宋_GB2312" w:cs="仿宋_GB2312"/>
                <w:bCs/>
                <w:color w:val="auto"/>
                <w:sz w:val="24"/>
                <w:highlight w:val="none"/>
              </w:rPr>
            </w:pPr>
          </w:p>
        </w:tc>
        <w:tc>
          <w:tcPr>
            <w:tcW w:w="1596" w:type="dxa"/>
            <w:vAlign w:val="center"/>
          </w:tcPr>
          <w:p>
            <w:pPr>
              <w:spacing w:line="260" w:lineRule="exact"/>
              <w:jc w:val="center"/>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994" w:type="dxa"/>
            <w:vAlign w:val="center"/>
          </w:tcPr>
          <w:p>
            <w:pPr>
              <w:spacing w:line="260" w:lineRule="exact"/>
              <w:jc w:val="center"/>
              <w:rPr>
                <w:rFonts w:ascii="仿宋_GB2312" w:hAnsi="仿宋_GB2312" w:cs="仿宋_GB2312"/>
                <w:bCs/>
                <w:color w:val="auto"/>
                <w:sz w:val="24"/>
                <w:highlight w:val="none"/>
              </w:rPr>
            </w:pPr>
          </w:p>
        </w:tc>
        <w:tc>
          <w:tcPr>
            <w:tcW w:w="1131" w:type="dxa"/>
            <w:gridSpan w:val="2"/>
            <w:vAlign w:val="center"/>
          </w:tcPr>
          <w:p>
            <w:pPr>
              <w:spacing w:line="260" w:lineRule="exact"/>
              <w:jc w:val="center"/>
              <w:rPr>
                <w:rFonts w:ascii="仿宋_GB2312" w:hAnsi="仿宋_GB2312" w:cs="仿宋_GB2312"/>
                <w:bCs/>
                <w:color w:val="auto"/>
                <w:sz w:val="24"/>
                <w:highlight w:val="none"/>
              </w:rPr>
            </w:pPr>
          </w:p>
        </w:tc>
        <w:tc>
          <w:tcPr>
            <w:tcW w:w="2548" w:type="dxa"/>
            <w:vAlign w:val="center"/>
          </w:tcPr>
          <w:p>
            <w:pPr>
              <w:spacing w:line="260" w:lineRule="exact"/>
              <w:jc w:val="center"/>
              <w:rPr>
                <w:rFonts w:ascii="仿宋_GB2312" w:hAnsi="仿宋_GB2312" w:cs="仿宋_GB2312"/>
                <w:bCs/>
                <w:color w:val="auto"/>
                <w:sz w:val="24"/>
                <w:highlight w:val="none"/>
              </w:rPr>
            </w:pPr>
          </w:p>
        </w:tc>
        <w:tc>
          <w:tcPr>
            <w:tcW w:w="1594" w:type="dxa"/>
            <w:vAlign w:val="center"/>
          </w:tcPr>
          <w:p>
            <w:pPr>
              <w:spacing w:line="260" w:lineRule="exact"/>
              <w:jc w:val="center"/>
              <w:rPr>
                <w:rFonts w:ascii="仿宋_GB2312" w:hAnsi="仿宋_GB2312" w:cs="仿宋_GB2312"/>
                <w:bCs/>
                <w:color w:val="auto"/>
                <w:sz w:val="24"/>
                <w:highlight w:val="none"/>
              </w:rPr>
            </w:pPr>
          </w:p>
        </w:tc>
        <w:tc>
          <w:tcPr>
            <w:tcW w:w="1596" w:type="dxa"/>
            <w:vAlign w:val="center"/>
          </w:tcPr>
          <w:p>
            <w:pPr>
              <w:spacing w:line="260" w:lineRule="exact"/>
              <w:jc w:val="center"/>
              <w:rPr>
                <w:rFonts w:ascii="仿宋_GB2312" w:hAnsi="仿宋_GB2312" w:cs="仿宋_GB2312"/>
                <w:bCs/>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（六）党建分离情况</w:t>
      </w:r>
    </w:p>
    <w:tbl>
      <w:tblPr>
        <w:tblStyle w:val="4"/>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423"/>
        <w:gridCol w:w="1950"/>
        <w:gridCol w:w="2226"/>
        <w:gridCol w:w="226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23" w:type="dxa"/>
            <w:vMerge w:val="restart"/>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党组织建立情况</w:t>
            </w:r>
          </w:p>
        </w:tc>
        <w:tc>
          <w:tcPr>
            <w:tcW w:w="1950" w:type="dxa"/>
            <w:vMerge w:val="restart"/>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党员人数</w:t>
            </w:r>
          </w:p>
        </w:tc>
        <w:tc>
          <w:tcPr>
            <w:tcW w:w="4490" w:type="dxa"/>
            <w:gridSpan w:val="2"/>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党的关系归口管理部门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23" w:type="dxa"/>
            <w:vMerge w:val="continue"/>
            <w:vAlign w:val="center"/>
          </w:tcPr>
          <w:p>
            <w:pPr>
              <w:spacing w:line="260" w:lineRule="exact"/>
              <w:rPr>
                <w:rFonts w:ascii="仿宋_GB2312" w:hAnsi="仿宋_GB2312" w:cs="仿宋_GB2312"/>
                <w:bCs/>
                <w:color w:val="auto"/>
                <w:sz w:val="24"/>
                <w:highlight w:val="none"/>
              </w:rPr>
            </w:pPr>
          </w:p>
        </w:tc>
        <w:tc>
          <w:tcPr>
            <w:tcW w:w="1950" w:type="dxa"/>
            <w:vMerge w:val="continue"/>
            <w:vAlign w:val="center"/>
          </w:tcPr>
          <w:p>
            <w:pPr>
              <w:spacing w:line="260" w:lineRule="exact"/>
              <w:jc w:val="center"/>
              <w:rPr>
                <w:rFonts w:ascii="仿宋_GB2312" w:hAnsi="仿宋_GB2312" w:cs="仿宋_GB2312"/>
                <w:bCs/>
                <w:color w:val="auto"/>
                <w:sz w:val="24"/>
                <w:highlight w:val="none"/>
              </w:rPr>
            </w:pPr>
          </w:p>
        </w:tc>
        <w:tc>
          <w:tcPr>
            <w:tcW w:w="2226"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脱钩前</w:t>
            </w:r>
          </w:p>
        </w:tc>
        <w:tc>
          <w:tcPr>
            <w:tcW w:w="226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62" w:hRule="atLeast"/>
          <w:jc w:val="center"/>
        </w:trPr>
        <w:tc>
          <w:tcPr>
            <w:tcW w:w="2423"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□党委</w:t>
            </w:r>
          </w:p>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□党总支</w:t>
            </w:r>
          </w:p>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□党支部</w:t>
            </w:r>
          </w:p>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□临时党组织</w:t>
            </w:r>
          </w:p>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□联合党支部</w:t>
            </w:r>
          </w:p>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□未建立党组织</w:t>
            </w:r>
          </w:p>
        </w:tc>
        <w:tc>
          <w:tcPr>
            <w:tcW w:w="1950" w:type="dxa"/>
            <w:vAlign w:val="center"/>
          </w:tcPr>
          <w:p>
            <w:pPr>
              <w:spacing w:line="260" w:lineRule="exact"/>
              <w:jc w:val="center"/>
              <w:rPr>
                <w:rFonts w:ascii="仿宋_GB2312" w:hAnsi="仿宋_GB2312" w:cs="仿宋_GB2312"/>
                <w:bCs/>
                <w:color w:val="auto"/>
                <w:sz w:val="24"/>
                <w:highlight w:val="none"/>
              </w:rPr>
            </w:pPr>
          </w:p>
        </w:tc>
        <w:tc>
          <w:tcPr>
            <w:tcW w:w="2226" w:type="dxa"/>
          </w:tcPr>
          <w:p>
            <w:pPr>
              <w:spacing w:line="260" w:lineRule="exact"/>
              <w:rPr>
                <w:rFonts w:ascii="仿宋_GB2312" w:hAnsi="仿宋_GB2312" w:cs="仿宋_GB2312"/>
                <w:bCs/>
                <w:color w:val="auto"/>
                <w:sz w:val="24"/>
                <w:highlight w:val="none"/>
              </w:rPr>
            </w:pPr>
          </w:p>
        </w:tc>
        <w:tc>
          <w:tcPr>
            <w:tcW w:w="2264" w:type="dxa"/>
          </w:tcPr>
          <w:p>
            <w:pPr>
              <w:spacing w:line="260" w:lineRule="exact"/>
              <w:rPr>
                <w:rFonts w:ascii="仿宋_GB2312" w:hAnsi="仿宋_GB2312" w:cs="仿宋_GB2312"/>
                <w:bCs/>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（七）举办报纸期刊杂志情况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1038"/>
        <w:gridCol w:w="1412"/>
        <w:gridCol w:w="1413"/>
        <w:gridCol w:w="1412"/>
        <w:gridCol w:w="14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75" w:type="dxa"/>
            <w:vMerge w:val="restart"/>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名  称</w:t>
            </w:r>
          </w:p>
        </w:tc>
        <w:tc>
          <w:tcPr>
            <w:tcW w:w="1038" w:type="dxa"/>
            <w:vMerge w:val="restart"/>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刊号</w:t>
            </w:r>
          </w:p>
        </w:tc>
        <w:tc>
          <w:tcPr>
            <w:tcW w:w="2825" w:type="dxa"/>
            <w:gridSpan w:val="2"/>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主管单位</w:t>
            </w:r>
          </w:p>
        </w:tc>
        <w:tc>
          <w:tcPr>
            <w:tcW w:w="2825" w:type="dxa"/>
            <w:gridSpan w:val="2"/>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主办单位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75" w:type="dxa"/>
            <w:vMerge w:val="continue"/>
            <w:vAlign w:val="center"/>
          </w:tcPr>
          <w:p>
            <w:pPr>
              <w:spacing w:line="260" w:lineRule="exact"/>
              <w:jc w:val="center"/>
              <w:rPr>
                <w:rFonts w:ascii="仿宋_GB2312" w:hAnsi="仿宋_GB2312" w:cs="仿宋_GB2312"/>
                <w:bCs/>
                <w:color w:val="auto"/>
                <w:sz w:val="24"/>
                <w:highlight w:val="none"/>
              </w:rPr>
            </w:pPr>
          </w:p>
        </w:tc>
        <w:tc>
          <w:tcPr>
            <w:tcW w:w="1038" w:type="dxa"/>
            <w:vMerge w:val="continue"/>
            <w:vAlign w:val="center"/>
          </w:tcPr>
          <w:p>
            <w:pPr>
              <w:spacing w:line="260" w:lineRule="exact"/>
              <w:jc w:val="center"/>
              <w:rPr>
                <w:rFonts w:ascii="仿宋_GB2312" w:hAnsi="仿宋_GB2312" w:cs="仿宋_GB2312"/>
                <w:bCs/>
                <w:color w:val="auto"/>
                <w:sz w:val="24"/>
                <w:highlight w:val="none"/>
              </w:rPr>
            </w:pPr>
          </w:p>
        </w:tc>
        <w:tc>
          <w:tcPr>
            <w:tcW w:w="1412"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脱钩前</w:t>
            </w:r>
          </w:p>
        </w:tc>
        <w:tc>
          <w:tcPr>
            <w:tcW w:w="1413"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w:t>
            </w:r>
          </w:p>
        </w:tc>
        <w:tc>
          <w:tcPr>
            <w:tcW w:w="1412"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脱钩前</w:t>
            </w:r>
          </w:p>
        </w:tc>
        <w:tc>
          <w:tcPr>
            <w:tcW w:w="1413"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2175" w:type="dxa"/>
            <w:vAlign w:val="center"/>
          </w:tcPr>
          <w:p>
            <w:pPr>
              <w:spacing w:line="260" w:lineRule="exact"/>
              <w:rPr>
                <w:rFonts w:ascii="仿宋_GB2312" w:hAnsi="仿宋_GB2312" w:cs="仿宋_GB2312"/>
                <w:bCs/>
                <w:color w:val="auto"/>
                <w:sz w:val="24"/>
                <w:highlight w:val="none"/>
              </w:rPr>
            </w:pPr>
          </w:p>
        </w:tc>
        <w:tc>
          <w:tcPr>
            <w:tcW w:w="1038"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2175" w:type="dxa"/>
            <w:vAlign w:val="center"/>
          </w:tcPr>
          <w:p>
            <w:pPr>
              <w:spacing w:line="260" w:lineRule="exact"/>
              <w:rPr>
                <w:rFonts w:ascii="仿宋_GB2312" w:hAnsi="仿宋_GB2312" w:cs="仿宋_GB2312"/>
                <w:bCs/>
                <w:color w:val="auto"/>
                <w:sz w:val="24"/>
                <w:highlight w:val="none"/>
              </w:rPr>
            </w:pPr>
          </w:p>
        </w:tc>
        <w:tc>
          <w:tcPr>
            <w:tcW w:w="1038"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75" w:type="dxa"/>
            <w:vAlign w:val="center"/>
          </w:tcPr>
          <w:p>
            <w:pPr>
              <w:spacing w:line="260" w:lineRule="exact"/>
              <w:rPr>
                <w:rFonts w:ascii="仿宋_GB2312" w:hAnsi="仿宋_GB2312" w:cs="仿宋_GB2312"/>
                <w:bCs/>
                <w:color w:val="auto"/>
                <w:sz w:val="24"/>
                <w:highlight w:val="none"/>
              </w:rPr>
            </w:pPr>
          </w:p>
        </w:tc>
        <w:tc>
          <w:tcPr>
            <w:tcW w:w="1038"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175" w:type="dxa"/>
            <w:vAlign w:val="center"/>
          </w:tcPr>
          <w:p>
            <w:pPr>
              <w:spacing w:line="260" w:lineRule="exact"/>
              <w:rPr>
                <w:rFonts w:ascii="仿宋_GB2312" w:hAnsi="仿宋_GB2312" w:cs="仿宋_GB2312"/>
                <w:bCs/>
                <w:color w:val="auto"/>
                <w:sz w:val="24"/>
                <w:highlight w:val="none"/>
              </w:rPr>
            </w:pPr>
          </w:p>
        </w:tc>
        <w:tc>
          <w:tcPr>
            <w:tcW w:w="1038"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c>
          <w:tcPr>
            <w:tcW w:w="1412" w:type="dxa"/>
            <w:vAlign w:val="center"/>
          </w:tcPr>
          <w:p>
            <w:pPr>
              <w:spacing w:line="260" w:lineRule="exact"/>
              <w:rPr>
                <w:rFonts w:ascii="仿宋_GB2312" w:hAnsi="仿宋_GB2312" w:cs="仿宋_GB2312"/>
                <w:bCs/>
                <w:color w:val="auto"/>
                <w:sz w:val="24"/>
                <w:highlight w:val="none"/>
              </w:rPr>
            </w:pPr>
          </w:p>
        </w:tc>
        <w:tc>
          <w:tcPr>
            <w:tcW w:w="1413" w:type="dxa"/>
            <w:vAlign w:val="center"/>
          </w:tcPr>
          <w:p>
            <w:pPr>
              <w:spacing w:line="260" w:lineRule="exact"/>
              <w:rPr>
                <w:rFonts w:ascii="仿宋_GB2312" w:hAnsi="仿宋_GB2312" w:cs="仿宋_GB2312"/>
                <w:bCs/>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（八）联系挂靠关系取消情况</w:t>
      </w:r>
    </w:p>
    <w:tbl>
      <w:tblPr>
        <w:tblStyle w:val="4"/>
        <w:tblpPr w:leftFromText="181" w:rightFromText="181" w:vertAnchor="text" w:tblpXSpec="center" w:tblpY="114"/>
        <w:tblOverlap w:val="never"/>
        <w:tblW w:w="886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101"/>
        <w:gridCol w:w="3738"/>
        <w:gridCol w:w="30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01" w:type="dxa"/>
            <w:vMerge w:val="restart"/>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与其他行政机关或参公管理单位的联系挂靠关系取消情况</w:t>
            </w:r>
          </w:p>
        </w:tc>
        <w:tc>
          <w:tcPr>
            <w:tcW w:w="6762" w:type="dxa"/>
            <w:gridSpan w:val="2"/>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□不涉及此事项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01" w:type="dxa"/>
            <w:vMerge w:val="continue"/>
            <w:vAlign w:val="center"/>
          </w:tcPr>
          <w:p>
            <w:pPr>
              <w:spacing w:line="260" w:lineRule="exact"/>
              <w:rPr>
                <w:rFonts w:ascii="仿宋_GB2312" w:hAnsi="仿宋_GB2312" w:cs="仿宋_GB2312"/>
                <w:bCs/>
                <w:color w:val="auto"/>
                <w:sz w:val="24"/>
                <w:highlight w:val="none"/>
              </w:rPr>
            </w:pPr>
          </w:p>
        </w:tc>
        <w:tc>
          <w:tcPr>
            <w:tcW w:w="3738"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涉及联系挂靠单位的脱钩事项</w:t>
            </w:r>
          </w:p>
        </w:tc>
        <w:tc>
          <w:tcPr>
            <w:tcW w:w="302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01" w:type="dxa"/>
            <w:vMerge w:val="continue"/>
            <w:vAlign w:val="center"/>
          </w:tcPr>
          <w:p>
            <w:pPr>
              <w:spacing w:line="260" w:lineRule="exact"/>
              <w:rPr>
                <w:rFonts w:ascii="仿宋_GB2312" w:hAnsi="仿宋_GB2312" w:cs="仿宋_GB2312"/>
                <w:bCs/>
                <w:color w:val="auto"/>
                <w:sz w:val="24"/>
                <w:highlight w:val="none"/>
              </w:rPr>
            </w:pPr>
          </w:p>
        </w:tc>
        <w:tc>
          <w:tcPr>
            <w:tcW w:w="3738" w:type="dxa"/>
            <w:vAlign w:val="center"/>
          </w:tcPr>
          <w:p>
            <w:pPr>
              <w:spacing w:line="260" w:lineRule="exact"/>
              <w:rPr>
                <w:rFonts w:ascii="仿宋_GB2312" w:hAnsi="仿宋_GB2312" w:cs="仿宋_GB2312"/>
                <w:bCs/>
                <w:color w:val="auto"/>
                <w:sz w:val="24"/>
                <w:highlight w:val="none"/>
              </w:rPr>
            </w:pPr>
          </w:p>
        </w:tc>
        <w:tc>
          <w:tcPr>
            <w:tcW w:w="3024" w:type="dxa"/>
            <w:vAlign w:val="center"/>
          </w:tcPr>
          <w:p>
            <w:pPr>
              <w:spacing w:line="260" w:lineRule="exact"/>
              <w:rPr>
                <w:rFonts w:ascii="仿宋_GB2312" w:hAnsi="仿宋_GB2312" w:cs="仿宋_GB2312"/>
                <w:bCs/>
                <w:color w:val="auto"/>
                <w:sz w:val="24"/>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2101" w:type="dxa"/>
            <w:vMerge w:val="continue"/>
            <w:vAlign w:val="center"/>
          </w:tcPr>
          <w:p>
            <w:pPr>
              <w:spacing w:line="260" w:lineRule="exact"/>
              <w:rPr>
                <w:rFonts w:ascii="仿宋_GB2312" w:hAnsi="仿宋_GB2312" w:cs="仿宋_GB2312"/>
                <w:bCs/>
                <w:color w:val="auto"/>
                <w:sz w:val="24"/>
                <w:highlight w:val="none"/>
              </w:rPr>
            </w:pPr>
          </w:p>
        </w:tc>
        <w:tc>
          <w:tcPr>
            <w:tcW w:w="3738" w:type="dxa"/>
            <w:vAlign w:val="center"/>
          </w:tcPr>
          <w:p>
            <w:pPr>
              <w:spacing w:line="260" w:lineRule="exact"/>
              <w:rPr>
                <w:rFonts w:ascii="仿宋_GB2312" w:hAnsi="仿宋_GB2312" w:cs="仿宋_GB2312"/>
                <w:bCs/>
                <w:color w:val="auto"/>
                <w:sz w:val="24"/>
                <w:highlight w:val="none"/>
              </w:rPr>
            </w:pPr>
          </w:p>
        </w:tc>
        <w:tc>
          <w:tcPr>
            <w:tcW w:w="3024" w:type="dxa"/>
            <w:vAlign w:val="center"/>
          </w:tcPr>
          <w:p>
            <w:pPr>
              <w:spacing w:line="260" w:lineRule="exact"/>
              <w:rPr>
                <w:rFonts w:ascii="仿宋_GB2312" w:hAnsi="仿宋_GB2312" w:cs="仿宋_GB2312"/>
                <w:bCs/>
                <w:color w:val="auto"/>
                <w:sz w:val="24"/>
                <w:highlight w:val="none"/>
              </w:rPr>
            </w:pPr>
          </w:p>
        </w:tc>
      </w:tr>
    </w:tbl>
    <w:p>
      <w:pPr>
        <w:jc w:val="left"/>
        <w:rPr>
          <w:rFonts w:ascii="仿宋_GB2312" w:hAnsi="仿宋_GB2312" w:cs="仿宋_GB2312"/>
          <w:color w:val="auto"/>
          <w:sz w:val="28"/>
          <w:szCs w:val="28"/>
          <w:highlight w:val="none"/>
        </w:rPr>
      </w:pPr>
      <w:r>
        <w:rPr>
          <w:rFonts w:hint="eastAsia" w:ascii="仿宋_GB2312" w:hAnsi="仿宋_GB2312" w:cs="仿宋_GB2312"/>
          <w:color w:val="auto"/>
          <w:sz w:val="28"/>
          <w:szCs w:val="28"/>
          <w:highlight w:val="none"/>
        </w:rPr>
        <w:t>（九）脱钩后变更登记和备案手续办理情况</w:t>
      </w:r>
    </w:p>
    <w:tbl>
      <w:tblPr>
        <w:tblStyle w:val="4"/>
        <w:tblW w:w="88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95"/>
        <w:gridCol w:w="884"/>
        <w:gridCol w:w="4767"/>
        <w:gridCol w:w="111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09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脱钩后业务范围是否发生变化</w:t>
            </w:r>
          </w:p>
        </w:tc>
        <w:tc>
          <w:tcPr>
            <w:tcW w:w="88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c>
          <w:tcPr>
            <w:tcW w:w="4767" w:type="dxa"/>
            <w:vAlign w:val="center"/>
          </w:tcPr>
          <w:p>
            <w:pPr>
              <w:spacing w:line="260" w:lineRule="exact"/>
              <w:rPr>
                <w:rFonts w:ascii="仿宋_GB2312" w:hAnsi="仿宋_GB2312" w:cs="仿宋_GB2312"/>
                <w:bCs/>
                <w:color w:val="auto"/>
                <w:spacing w:val="-4"/>
                <w:sz w:val="24"/>
                <w:highlight w:val="none"/>
              </w:rPr>
            </w:pPr>
            <w:r>
              <w:rPr>
                <w:rFonts w:hint="eastAsia" w:ascii="仿宋_GB2312" w:hAnsi="仿宋_GB2312" w:cs="仿宋_GB2312"/>
                <w:bCs/>
                <w:color w:val="auto"/>
                <w:spacing w:val="-4"/>
                <w:sz w:val="24"/>
                <w:highlight w:val="none"/>
              </w:rPr>
              <w:t>如选是，是否按法定程序办理变更登记手续</w:t>
            </w:r>
          </w:p>
        </w:tc>
        <w:tc>
          <w:tcPr>
            <w:tcW w:w="1117"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09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脱钩后住所</w:t>
            </w:r>
          </w:p>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是否有变化</w:t>
            </w:r>
          </w:p>
        </w:tc>
        <w:tc>
          <w:tcPr>
            <w:tcW w:w="88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c>
          <w:tcPr>
            <w:tcW w:w="4767" w:type="dxa"/>
            <w:vAlign w:val="center"/>
          </w:tcPr>
          <w:p>
            <w:pPr>
              <w:spacing w:line="260" w:lineRule="exact"/>
              <w:rPr>
                <w:rFonts w:ascii="仿宋_GB2312" w:hAnsi="仿宋_GB2312" w:cs="仿宋_GB2312"/>
                <w:bCs/>
                <w:color w:val="auto"/>
                <w:spacing w:val="-4"/>
                <w:sz w:val="24"/>
                <w:highlight w:val="none"/>
              </w:rPr>
            </w:pPr>
            <w:r>
              <w:rPr>
                <w:rFonts w:hint="eastAsia" w:ascii="仿宋_GB2312" w:hAnsi="仿宋_GB2312" w:cs="仿宋_GB2312"/>
                <w:bCs/>
                <w:color w:val="auto"/>
                <w:spacing w:val="-4"/>
                <w:sz w:val="24"/>
                <w:highlight w:val="none"/>
              </w:rPr>
              <w:t>如选是，是否按法定程序办理变更登记手续</w:t>
            </w:r>
          </w:p>
        </w:tc>
        <w:tc>
          <w:tcPr>
            <w:tcW w:w="1117"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09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脱钩后注册资金是否发生变化</w:t>
            </w:r>
          </w:p>
        </w:tc>
        <w:tc>
          <w:tcPr>
            <w:tcW w:w="88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c>
          <w:tcPr>
            <w:tcW w:w="4767" w:type="dxa"/>
            <w:vAlign w:val="center"/>
          </w:tcPr>
          <w:p>
            <w:pPr>
              <w:spacing w:line="260" w:lineRule="exact"/>
              <w:rPr>
                <w:rFonts w:ascii="仿宋_GB2312" w:hAnsi="仿宋_GB2312" w:cs="仿宋_GB2312"/>
                <w:bCs/>
                <w:color w:val="auto"/>
                <w:spacing w:val="-4"/>
                <w:sz w:val="24"/>
                <w:highlight w:val="none"/>
              </w:rPr>
            </w:pPr>
            <w:r>
              <w:rPr>
                <w:rFonts w:hint="eastAsia" w:ascii="仿宋_GB2312" w:hAnsi="仿宋_GB2312" w:cs="仿宋_GB2312"/>
                <w:bCs/>
                <w:color w:val="auto"/>
                <w:spacing w:val="-4"/>
                <w:sz w:val="24"/>
                <w:highlight w:val="none"/>
              </w:rPr>
              <w:t>如选是，是否按法定程序办理变更登记手续</w:t>
            </w:r>
          </w:p>
        </w:tc>
        <w:tc>
          <w:tcPr>
            <w:tcW w:w="1117"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09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脱钩后法定代表人是否发生变动</w:t>
            </w:r>
          </w:p>
        </w:tc>
        <w:tc>
          <w:tcPr>
            <w:tcW w:w="88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c>
          <w:tcPr>
            <w:tcW w:w="4767" w:type="dxa"/>
            <w:vAlign w:val="center"/>
          </w:tcPr>
          <w:p>
            <w:pPr>
              <w:spacing w:line="260" w:lineRule="exact"/>
              <w:rPr>
                <w:rFonts w:ascii="仿宋_GB2312" w:hAnsi="仿宋_GB2312" w:cs="仿宋_GB2312"/>
                <w:bCs/>
                <w:color w:val="auto"/>
                <w:spacing w:val="-4"/>
                <w:sz w:val="24"/>
                <w:highlight w:val="none"/>
              </w:rPr>
            </w:pPr>
            <w:r>
              <w:rPr>
                <w:rFonts w:hint="eastAsia" w:ascii="仿宋_GB2312" w:hAnsi="仿宋_GB2312" w:cs="仿宋_GB2312"/>
                <w:bCs/>
                <w:color w:val="auto"/>
                <w:spacing w:val="-4"/>
                <w:sz w:val="24"/>
                <w:highlight w:val="none"/>
              </w:rPr>
              <w:t>如选是，是否按法定程序办理变更登记手续</w:t>
            </w:r>
          </w:p>
        </w:tc>
        <w:tc>
          <w:tcPr>
            <w:tcW w:w="1117"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209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脱钩后章程是否修改</w:t>
            </w:r>
          </w:p>
        </w:tc>
        <w:tc>
          <w:tcPr>
            <w:tcW w:w="88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c>
          <w:tcPr>
            <w:tcW w:w="4767" w:type="dxa"/>
            <w:vAlign w:val="center"/>
          </w:tcPr>
          <w:p>
            <w:pPr>
              <w:spacing w:line="260" w:lineRule="exact"/>
              <w:rPr>
                <w:rFonts w:ascii="仿宋_GB2312" w:hAnsi="仿宋_GB2312" w:cs="仿宋_GB2312"/>
                <w:bCs/>
                <w:color w:val="auto"/>
                <w:spacing w:val="-4"/>
                <w:sz w:val="24"/>
                <w:highlight w:val="none"/>
              </w:rPr>
            </w:pPr>
            <w:r>
              <w:rPr>
                <w:rFonts w:hint="eastAsia" w:ascii="仿宋_GB2312" w:hAnsi="仿宋_GB2312" w:cs="仿宋_GB2312"/>
                <w:bCs/>
                <w:color w:val="auto"/>
                <w:spacing w:val="-4"/>
                <w:sz w:val="24"/>
                <w:highlight w:val="none"/>
              </w:rPr>
              <w:t>如选是，是否按法定程序办理章程核准手续</w:t>
            </w:r>
          </w:p>
        </w:tc>
        <w:tc>
          <w:tcPr>
            <w:tcW w:w="1117"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2095" w:type="dxa"/>
            <w:vAlign w:val="center"/>
          </w:tcPr>
          <w:p>
            <w:pPr>
              <w:spacing w:line="260" w:lineRule="exact"/>
              <w:rPr>
                <w:rFonts w:ascii="仿宋_GB2312" w:hAnsi="仿宋_GB2312" w:cs="仿宋_GB2312"/>
                <w:bCs/>
                <w:color w:val="auto"/>
                <w:sz w:val="24"/>
                <w:highlight w:val="none"/>
              </w:rPr>
            </w:pPr>
            <w:r>
              <w:rPr>
                <w:rFonts w:hint="eastAsia" w:ascii="仿宋_GB2312" w:hAnsi="仿宋_GB2312" w:cs="仿宋_GB2312"/>
                <w:bCs/>
                <w:color w:val="auto"/>
                <w:sz w:val="24"/>
                <w:highlight w:val="none"/>
              </w:rPr>
              <w:t>脱钩后负责人是否发生变动</w:t>
            </w:r>
          </w:p>
        </w:tc>
        <w:tc>
          <w:tcPr>
            <w:tcW w:w="884"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c>
          <w:tcPr>
            <w:tcW w:w="4767" w:type="dxa"/>
            <w:vAlign w:val="center"/>
          </w:tcPr>
          <w:p>
            <w:pPr>
              <w:spacing w:line="260" w:lineRule="exact"/>
              <w:rPr>
                <w:rFonts w:ascii="仿宋_GB2312" w:hAnsi="仿宋_GB2312" w:cs="仿宋_GB2312"/>
                <w:bCs/>
                <w:color w:val="auto"/>
                <w:spacing w:val="-4"/>
                <w:sz w:val="24"/>
                <w:highlight w:val="none"/>
              </w:rPr>
            </w:pPr>
            <w:r>
              <w:rPr>
                <w:rFonts w:hint="eastAsia" w:ascii="仿宋_GB2312" w:hAnsi="仿宋_GB2312" w:cs="仿宋_GB2312"/>
                <w:bCs/>
                <w:color w:val="auto"/>
                <w:spacing w:val="-4"/>
                <w:sz w:val="24"/>
                <w:highlight w:val="none"/>
              </w:rPr>
              <w:t>如选是，是否按法定程序办理变更备案手续</w:t>
            </w:r>
          </w:p>
        </w:tc>
        <w:tc>
          <w:tcPr>
            <w:tcW w:w="1117" w:type="dxa"/>
            <w:vAlign w:val="center"/>
          </w:tcPr>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是</w:t>
            </w:r>
          </w:p>
          <w:p>
            <w:pPr>
              <w:spacing w:line="260" w:lineRule="exact"/>
              <w:jc w:val="center"/>
              <w:rPr>
                <w:rFonts w:ascii="仿宋_GB2312" w:hAnsi="仿宋_GB2312" w:cs="仿宋_GB2312"/>
                <w:bCs/>
                <w:color w:val="auto"/>
                <w:sz w:val="24"/>
                <w:highlight w:val="none"/>
              </w:rPr>
            </w:pPr>
            <w:r>
              <w:rPr>
                <w:rFonts w:hint="eastAsia" w:ascii="仿宋_GB2312" w:hAnsi="仿宋_GB2312" w:cs="仿宋_GB2312"/>
                <w:bCs/>
                <w:color w:val="auto"/>
                <w:sz w:val="24"/>
                <w:highlight w:val="none"/>
              </w:rPr>
              <w:t>□ 否</w:t>
            </w:r>
          </w:p>
        </w:tc>
      </w:tr>
    </w:tbl>
    <w:p>
      <w:pPr>
        <w:spacing w:line="600" w:lineRule="exact"/>
        <w:rPr>
          <w:color w:val="auto"/>
          <w:highlight w:val="none"/>
        </w:rPr>
      </w:pPr>
    </w:p>
    <w:p>
      <w:pPr>
        <w:spacing w:line="600" w:lineRule="exact"/>
        <w:rPr>
          <w:color w:val="auto"/>
          <w:highlight w:val="none"/>
        </w:rPr>
      </w:pPr>
    </w:p>
    <w:p>
      <w:pPr>
        <w:rPr>
          <w:color w:val="000000" w:themeColor="text1"/>
          <w:highlight w:val="none"/>
          <w14:textFill>
            <w14:solidFill>
              <w14:schemeClr w14:val="tx1"/>
            </w14:solidFill>
          </w14:textFill>
        </w:rPr>
      </w:pP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文星标宋">
    <w:altName w:val="宋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5A2962"/>
    <w:rsid w:val="06015F13"/>
    <w:rsid w:val="0D0B38DF"/>
    <w:rsid w:val="0D301220"/>
    <w:rsid w:val="0E9922F2"/>
    <w:rsid w:val="1B0559EB"/>
    <w:rsid w:val="1E277E5A"/>
    <w:rsid w:val="1FD20477"/>
    <w:rsid w:val="28017FA5"/>
    <w:rsid w:val="2DE9103C"/>
    <w:rsid w:val="2E481D35"/>
    <w:rsid w:val="34ED22DD"/>
    <w:rsid w:val="3A133ED6"/>
    <w:rsid w:val="46D17CD2"/>
    <w:rsid w:val="4CF578E2"/>
    <w:rsid w:val="535A2962"/>
    <w:rsid w:val="63162E41"/>
    <w:rsid w:val="68F63D60"/>
    <w:rsid w:val="6D815E0F"/>
    <w:rsid w:val="76C84B28"/>
    <w:rsid w:val="77321F7C"/>
    <w:rsid w:val="7A97189A"/>
    <w:rsid w:val="7F85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1168</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2020-07-24T00:53:00Z</dcterms:created>
  <dc:creator>田鹏霄（旅游）</dc:creator>
  <cp:lastModifiedBy>田鹏霄（旅游）</cp:lastModifiedBy>
  <cp:lastPrinted>2020-08-04T00:40:00Z</cp:lastPrinted>
  <dcterms:modified xsi:type="dcterms:W3CDTF">2020-11-12T01:49:45Z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