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eastAsia" w:ascii="仿宋" w:hAnsi="仿宋" w:eastAsia="仿宋" w:cs="仿宋"/>
          <w:b/>
          <w:bCs/>
          <w:sz w:val="52"/>
          <w:szCs w:val="52"/>
        </w:rPr>
      </w:pPr>
      <w:r>
        <w:rPr>
          <w:rFonts w:hint="eastAsia" w:ascii="仿宋" w:hAnsi="仿宋" w:eastAsia="仿宋" w:cs="仿宋"/>
          <w:b/>
          <w:bCs/>
          <w:sz w:val="52"/>
          <w:szCs w:val="52"/>
        </w:rPr>
        <w:t>行政复议范围</w:t>
      </w: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一、有下列情形之一的，公民、法人或者其他组织可以依照本法申请行政复议：</w:t>
      </w: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（一）对行政机关作出的警告、罚款、没收违法所得、没收非法财物、责令停产停业、暂扣或者吊销许可证、暂扣或者吊销执照、行政拘留等行政处罚决定不服的；</w:t>
      </w: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（二）对行政机关作出的限制人身自由或者查封、扣押、冻结财产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"https://baike.baidu.com/item/%E8%A1%8C%E6%94%BF%E5%BC%BA%E5%88%B6%E6%8E%AA%E6%96%BD" \t "https://baike.baidu.com/item/%E4%B8%AD%E5%8D%8E%E4%BA%BA%E6%B0%91%E5%85%B1%E5%92%8C%E5%9B%BD%E8%A1%8C%E6%94%BF%E5%A4%8D%E8%AE%AE%E6%B3%95/_blank"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11"/>
          <w:rFonts w:hint="eastAsia" w:ascii="仿宋" w:hAnsi="仿宋" w:eastAsia="仿宋" w:cs="仿宋"/>
          <w:color w:val="auto"/>
          <w:sz w:val="32"/>
          <w:szCs w:val="32"/>
          <w:u w:val="none"/>
          <w:shd w:val="clear" w:fill="FFFFFF"/>
        </w:rPr>
        <w:t>行政强制措施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决定不服的；</w:t>
      </w: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（三）对行政机关作出的有关许可证、执照、资质证、资格证等证书变更、中止、撤销的决定不服的；</w:t>
      </w: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（四）对行政机关作出的关于确认土地、矿藏、水流、森林、山岭、草原、荒地、滩涂、海域等自然资源的所有权或者使用权的决定不服的；</w:t>
      </w: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（五）认为行政机关侵犯合法的经营自主权的；</w:t>
      </w: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（六）认为行政机关变更或者废止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"https://baike.baidu.com/item/%E5%86%9C%E4%B8%9A%E6%89%BF%E5%8C%85%E5%90%88%E5%90%8C" \t "https://baike.baidu.com/item/%E4%B8%AD%E5%8D%8E%E4%BA%BA%E6%B0%91%E5%85%B1%E5%92%8C%E5%9B%BD%E8%A1%8C%E6%94%BF%E5%A4%8D%E8%AE%AE%E6%B3%95/_blank"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11"/>
          <w:rFonts w:hint="eastAsia" w:ascii="仿宋" w:hAnsi="仿宋" w:eastAsia="仿宋" w:cs="仿宋"/>
          <w:color w:val="auto"/>
          <w:sz w:val="32"/>
          <w:szCs w:val="32"/>
          <w:u w:val="none"/>
          <w:shd w:val="clear" w:fill="FFFFFF"/>
        </w:rPr>
        <w:t>农业承包合同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，侵犯其合法权益的；</w:t>
      </w: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（七）认为行政机关违法集资、征收财物、摊派费用或者违法要求履行其他义务的；</w:t>
      </w: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（八）认为符合法定条件，申请行政机关颁发许可证、执照、资质证、资格证等证书，或者申请行政机关审批、登记有关事项，行政机关没有依法办理的；</w:t>
      </w: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（九）申请行政机关履行保护人身权利、财产权利、受教育权利的法定职责，行政机关没有依法履行的；</w:t>
      </w: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（十）申请行政机关依法发放抚恤金、社会保险金或者最低生活保障费，行政机关没有依法发放的；</w:t>
      </w: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（十一）认为行政机关的其他具体行政行为侵犯其合法权益的。</w:t>
      </w:r>
    </w:p>
    <w:p>
      <w:pPr>
        <w:bidi w:val="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bidi w:val="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bidi w:val="0"/>
        <w:ind w:firstLine="2209" w:firstLineChars="500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申请行政复议条件</w:t>
      </w:r>
    </w:p>
    <w:p>
      <w:pPr>
        <w:bidi w:val="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行政复议申请符合下列条件的，应予受理：</w:t>
      </w:r>
    </w:p>
    <w:p>
      <w:pPr>
        <w:bidi w:val="0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　　（一）有明确的申请人和适格的被申请人；</w:t>
      </w:r>
    </w:p>
    <w:p>
      <w:pPr>
        <w:bidi w:val="0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　　（二）申请人与具体行政行为有利害关系；</w:t>
      </w:r>
    </w:p>
    <w:p>
      <w:pPr>
        <w:bidi w:val="0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　　（三）有具体的复议请求和理由；</w:t>
      </w:r>
    </w:p>
    <w:p>
      <w:pPr>
        <w:bidi w:val="0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　　（四）在法定期限内提出复议申请；</w:t>
      </w:r>
    </w:p>
    <w:p>
      <w:pPr>
        <w:bidi w:val="0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　　（五）具体行政行为属于复议范围；</w:t>
      </w:r>
    </w:p>
    <w:p>
      <w:pPr>
        <w:bidi w:val="0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　　（六）属于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区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eastAsia="zh-CN"/>
        </w:rPr>
        <w:t>政府的复议管辖范围；</w:t>
      </w:r>
    </w:p>
    <w:p>
      <w:pPr>
        <w:bidi w:val="0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　　（七）其他行政机关或法院尚未受理同样的行政争议。</w:t>
      </w:r>
    </w:p>
    <w:p>
      <w:pPr>
        <w:bidi w:val="0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baikeFont_cs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92089D"/>
    <w:rsid w:val="3F92089D"/>
    <w:rsid w:val="49070EF5"/>
    <w:rsid w:val="51795890"/>
    <w:rsid w:val="57F72AE9"/>
    <w:rsid w:val="61FC7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color w:val="333333"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Courier New" w:eastAsia="宋体" w:cs="Courier New"/>
      <w:kern w:val="2"/>
      <w:sz w:val="21"/>
      <w:szCs w:val="21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338DE6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qFormat/>
    <w:uiPriority w:val="0"/>
  </w:style>
  <w:style w:type="character" w:styleId="10">
    <w:name w:val="HTML Variable"/>
    <w:basedOn w:val="5"/>
    <w:qFormat/>
    <w:uiPriority w:val="0"/>
  </w:style>
  <w:style w:type="character" w:styleId="11">
    <w:name w:val="Hyperlink"/>
    <w:basedOn w:val="5"/>
    <w:qFormat/>
    <w:uiPriority w:val="0"/>
    <w:rPr>
      <w:rFonts w:hint="default" w:ascii="baikeFont_css" w:hAnsi="baikeFont_css" w:eastAsia="baikeFont_css" w:cs="baikeFont_css"/>
      <w:color w:val="338DE6"/>
      <w:u w:val="none"/>
    </w:rPr>
  </w:style>
  <w:style w:type="character" w:styleId="12">
    <w:name w:val="HTML Code"/>
    <w:basedOn w:val="5"/>
    <w:qFormat/>
    <w:uiPriority w:val="0"/>
    <w:rPr>
      <w:rFonts w:hint="default" w:ascii="serif" w:hAnsi="serif" w:eastAsia="serif" w:cs="serif"/>
      <w:sz w:val="21"/>
      <w:szCs w:val="21"/>
    </w:rPr>
  </w:style>
  <w:style w:type="character" w:styleId="13">
    <w:name w:val="HTML Cite"/>
    <w:basedOn w:val="5"/>
    <w:qFormat/>
    <w:uiPriority w:val="0"/>
  </w:style>
  <w:style w:type="character" w:styleId="14">
    <w:name w:val="HTML Keyboard"/>
    <w:basedOn w:val="5"/>
    <w:qFormat/>
    <w:uiPriority w:val="0"/>
    <w:rPr>
      <w:rFonts w:ascii="serif" w:hAnsi="serif" w:eastAsia="serif" w:cs="serif"/>
      <w:sz w:val="21"/>
      <w:szCs w:val="21"/>
    </w:rPr>
  </w:style>
  <w:style w:type="character" w:styleId="15">
    <w:name w:val="HTML Sample"/>
    <w:basedOn w:val="5"/>
    <w:qFormat/>
    <w:uiPriority w:val="0"/>
    <w:rPr>
      <w:rFonts w:hint="default" w:ascii="serif" w:hAnsi="serif" w:eastAsia="serif" w:cs="serif"/>
      <w:sz w:val="21"/>
      <w:szCs w:val="21"/>
    </w:rPr>
  </w:style>
  <w:style w:type="character" w:customStyle="1" w:styleId="16">
    <w:name w:val="fontborder"/>
    <w:basedOn w:val="5"/>
    <w:qFormat/>
    <w:uiPriority w:val="0"/>
    <w:rPr>
      <w:bdr w:val="single" w:color="000000" w:sz="6" w:space="0"/>
    </w:rPr>
  </w:style>
  <w:style w:type="character" w:customStyle="1" w:styleId="17">
    <w:name w:val="fontstrikethrough"/>
    <w:basedOn w:val="5"/>
    <w:qFormat/>
    <w:uiPriority w:val="0"/>
    <w:rPr>
      <w:strike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2019-12-05T09:19:00Z</dcterms:created>
  <dc:creator>Administrator</dc:creator>
  <cp:lastModifiedBy>Administrator</cp:lastModifiedBy>
  <dcterms:modified xsi:type="dcterms:W3CDTF">2021-05-18T07:17:25Z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D584A06E24B8486A8E21DC186BCBB386</vt:lpwstr>
  </property>
</Properties>
</file>