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39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9"/>
        <w:gridCol w:w="41"/>
        <w:gridCol w:w="833"/>
        <w:gridCol w:w="2085"/>
        <w:gridCol w:w="791"/>
        <w:gridCol w:w="5073"/>
        <w:gridCol w:w="1309"/>
        <w:gridCol w:w="150"/>
        <w:gridCol w:w="545"/>
        <w:gridCol w:w="26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3988" w:type="dxa"/>
            <w:gridSpan w:val="10"/>
            <w:tcBorders>
              <w:top w:val="nil"/>
              <w:left w:val="nil"/>
              <w:bottom w:val="nil"/>
              <w:right w:val="nil"/>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方正小标宋简体" w:hAnsi="方正小标宋简体" w:eastAsia="方正小标宋简体" w:cs="方正小标宋简体"/>
                <w:b/>
                <w:i w:val="0"/>
                <w:color w:val="000000"/>
                <w:kern w:val="0"/>
                <w:sz w:val="44"/>
                <w:szCs w:val="44"/>
                <w:u w:val="none"/>
                <w:lang w:val="en-US" w:eastAsia="zh-CN"/>
              </w:rPr>
              <w:t>濮阳市华龙区应急局行政执法权责清单、岗责体系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13988" w:type="dxa"/>
            <w:gridSpan w:val="10"/>
            <w:tcBorders>
              <w:top w:val="nil"/>
              <w:left w:val="nil"/>
              <w:bottom w:val="nil"/>
              <w:right w:val="nil"/>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32"/>
                <w:szCs w:val="32"/>
                <w:u w:val="none"/>
                <w:lang w:val="en-US" w:eastAsia="zh-CN"/>
              </w:rPr>
              <w:t>行政许可类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39" w:hRule="atLeast"/>
        </w:trPr>
        <w:tc>
          <w:tcPr>
            <w:tcW w:w="57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职权类别</w:t>
            </w:r>
          </w:p>
        </w:tc>
        <w:tc>
          <w:tcPr>
            <w:tcW w:w="8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职权名称</w:t>
            </w:r>
          </w:p>
        </w:tc>
        <w:tc>
          <w:tcPr>
            <w:tcW w:w="20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实施依据</w:t>
            </w:r>
          </w:p>
        </w:tc>
        <w:tc>
          <w:tcPr>
            <w:tcW w:w="586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责任事项（岗位责任）</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办理期限（法定期限30日）</w:t>
            </w:r>
          </w:p>
        </w:tc>
        <w:tc>
          <w:tcPr>
            <w:tcW w:w="69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收费情况</w:t>
            </w:r>
          </w:p>
        </w:tc>
        <w:tc>
          <w:tcPr>
            <w:tcW w:w="2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违法责任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 w:hRule="atLeast"/>
        </w:trPr>
        <w:tc>
          <w:tcPr>
            <w:tcW w:w="570" w:type="dxa"/>
            <w:gridSpan w:val="2"/>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行 政 许 可 类</w:t>
            </w:r>
          </w:p>
        </w:tc>
        <w:tc>
          <w:tcPr>
            <w:tcW w:w="833"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1.对危化经营单位首次申请危险化学品经营许可证的行政许可</w:t>
            </w:r>
          </w:p>
        </w:tc>
        <w:tc>
          <w:tcPr>
            <w:tcW w:w="208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 xml:space="preserve">1.《中华人民共和国行政许可法》第三十一条：2.《危险化学品经营许可证管理办法》第三条 </w:t>
            </w:r>
          </w:p>
        </w:tc>
        <w:tc>
          <w:tcPr>
            <w:tcW w:w="586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1.受理责任(受理岗):接收行政许可申请材料:经机关负责人审批，依法受理或不予受理:不予受理的依法告知理由:申请材料不齐全的，一次性告知需补正的材料。</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2</w:t>
            </w:r>
          </w:p>
        </w:tc>
        <w:tc>
          <w:tcPr>
            <w:tcW w:w="69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否</w:t>
            </w:r>
          </w:p>
        </w:tc>
        <w:tc>
          <w:tcPr>
            <w:tcW w:w="263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ind w:firstLine="390"/>
              <w:jc w:val="both"/>
              <w:textAlignment w:val="center"/>
              <w:rPr>
                <w:rFonts w:hint="eastAsia" w:ascii="仿宋_GB2312" w:hAnsi="仿宋_GB2312" w:eastAsia="仿宋_GB2312" w:cs="仿宋_GB2312"/>
                <w:i w:val="0"/>
                <w:color w:val="000000"/>
                <w:w w:val="93"/>
                <w:kern w:val="0"/>
                <w:sz w:val="21"/>
                <w:szCs w:val="21"/>
                <w:u w:val="none"/>
                <w:lang w:val="en-US" w:eastAsia="zh-CN"/>
              </w:rPr>
            </w:pPr>
            <w:r>
              <w:rPr>
                <w:rFonts w:hint="eastAsia" w:ascii="仿宋_GB2312" w:hAnsi="仿宋_GB2312" w:eastAsia="仿宋_GB2312" w:cs="仿宋_GB2312"/>
                <w:i w:val="0"/>
                <w:color w:val="000000"/>
                <w:w w:val="93"/>
                <w:kern w:val="0"/>
                <w:sz w:val="21"/>
                <w:szCs w:val="21"/>
                <w:u w:val="none"/>
                <w:lang w:val="en-US" w:eastAsia="zh-CN"/>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r>
              <w:rPr>
                <w:rFonts w:hint="eastAsia" w:ascii="仿宋_GB2312" w:hAnsi="仿宋_GB2312" w:eastAsia="仿宋_GB2312" w:cs="仿宋_GB2312"/>
                <w:i w:val="0"/>
                <w:color w:val="000000"/>
                <w:w w:val="93"/>
                <w:kern w:val="0"/>
                <w:sz w:val="21"/>
                <w:szCs w:val="21"/>
                <w:u w:val="none"/>
                <w:lang w:val="en-US" w:eastAsia="zh-CN"/>
              </w:rPr>
              <w:br w:type="textWrapping"/>
            </w:r>
            <w:r>
              <w:rPr>
                <w:rFonts w:hint="eastAsia" w:ascii="仿宋_GB2312" w:hAnsi="仿宋_GB2312" w:eastAsia="仿宋_GB2312" w:cs="仿宋_GB2312"/>
                <w:i w:val="0"/>
                <w:color w:val="000000"/>
                <w:w w:val="93"/>
                <w:kern w:val="0"/>
                <w:sz w:val="21"/>
                <w:szCs w:val="21"/>
                <w:u w:val="none"/>
                <w:lang w:val="en-US" w:eastAsia="zh-CN"/>
              </w:rPr>
              <w:t xml:space="preserve">    行政执法人员未履行法定职责或者违法行使职权的，视情节轻重给子批评教育、离岗培训、调离执法岗位、取消行政执法资格等处理或者依法给予处分;构成犯罪的，依法追究刑事责任。</w:t>
            </w:r>
          </w:p>
          <w:p>
            <w:pPr>
              <w:widowControl/>
              <w:ind w:firstLine="390"/>
              <w:jc w:val="both"/>
              <w:textAlignment w:val="center"/>
              <w:rPr>
                <w:rFonts w:hint="eastAsia" w:ascii="仿宋_GB2312" w:hAnsi="仿宋_GB2312" w:eastAsia="仿宋_GB2312" w:cs="仿宋_GB2312"/>
                <w:i w:val="0"/>
                <w:color w:val="000000"/>
                <w:w w:val="93"/>
                <w:kern w:val="0"/>
                <w:sz w:val="21"/>
                <w:szCs w:val="21"/>
                <w:u w:val="none"/>
                <w:lang w:val="en-US" w:eastAsia="zh-CN"/>
              </w:rPr>
            </w:pPr>
          </w:p>
          <w:p>
            <w:pPr>
              <w:widowControl/>
              <w:ind w:firstLine="390"/>
              <w:jc w:val="both"/>
              <w:textAlignment w:val="center"/>
              <w:rPr>
                <w:rFonts w:hint="eastAsia" w:ascii="仿宋_GB2312" w:hAnsi="仿宋_GB2312" w:eastAsia="仿宋_GB2312" w:cs="仿宋_GB2312"/>
                <w:i w:val="0"/>
                <w:color w:val="000000"/>
                <w:w w:val="93"/>
                <w:kern w:val="0"/>
                <w:sz w:val="21"/>
                <w:szCs w:val="21"/>
                <w:u w:val="none"/>
                <w:lang w:val="en-US" w:eastAsia="zh-CN"/>
              </w:rPr>
            </w:pPr>
          </w:p>
          <w:p>
            <w:pPr>
              <w:widowControl/>
              <w:ind w:firstLine="390"/>
              <w:jc w:val="both"/>
              <w:textAlignment w:val="center"/>
              <w:rPr>
                <w:rFonts w:hint="eastAsia" w:ascii="仿宋_GB2312" w:hAnsi="仿宋_GB2312" w:eastAsia="仿宋_GB2312" w:cs="仿宋_GB2312"/>
                <w:i w:val="0"/>
                <w:color w:val="000000"/>
                <w:w w:val="93"/>
                <w:kern w:val="0"/>
                <w:sz w:val="21"/>
                <w:szCs w:val="21"/>
                <w:u w:val="none"/>
                <w:lang w:val="en-US" w:eastAsia="zh-CN"/>
              </w:rPr>
            </w:pPr>
          </w:p>
          <w:p>
            <w:pPr>
              <w:widowControl/>
              <w:ind w:firstLine="390"/>
              <w:jc w:val="both"/>
              <w:textAlignment w:val="center"/>
              <w:rPr>
                <w:rFonts w:hint="eastAsia" w:ascii="仿宋_GB2312" w:hAnsi="仿宋_GB2312" w:eastAsia="仿宋_GB2312" w:cs="仿宋_GB2312"/>
                <w:i w:val="0"/>
                <w:color w:val="000000"/>
                <w:w w:val="93"/>
                <w:kern w:val="0"/>
                <w:sz w:val="21"/>
                <w:szCs w:val="21"/>
                <w:u w:val="none"/>
                <w:lang w:val="en-US" w:eastAsia="zh-CN"/>
              </w:rPr>
            </w:pPr>
          </w:p>
          <w:p>
            <w:pPr>
              <w:widowControl/>
              <w:ind w:firstLine="390"/>
              <w:jc w:val="both"/>
              <w:textAlignment w:val="center"/>
              <w:rPr>
                <w:rFonts w:hint="eastAsia" w:ascii="仿宋_GB2312" w:hAnsi="仿宋_GB2312" w:eastAsia="仿宋_GB2312" w:cs="仿宋_GB2312"/>
                <w:i w:val="0"/>
                <w:color w:val="000000"/>
                <w:w w:val="93"/>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 w:hRule="atLeast"/>
        </w:trPr>
        <w:tc>
          <w:tcPr>
            <w:tcW w:w="570" w:type="dxa"/>
            <w:gridSpan w:val="2"/>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33" w:type="dxa"/>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085" w:type="dxa"/>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86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2.审查责任(审查岗):进行材料审查;需要现场核查的，组织专家现场核查，并书面告知申请人:根据需要征求有关部门意见:提出初审意见。涉及他人重大利益的，告知申请人和利害关系人陈述申辩权;依法应当听证或行政机关认为需要听证的，告知申请人、利害关系人听证权。</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w:t>
            </w:r>
          </w:p>
        </w:tc>
        <w:tc>
          <w:tcPr>
            <w:tcW w:w="69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22" w:hRule="atLeast"/>
        </w:trPr>
        <w:tc>
          <w:tcPr>
            <w:tcW w:w="570" w:type="dxa"/>
            <w:gridSpan w:val="2"/>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33" w:type="dxa"/>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085" w:type="dxa"/>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86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3.决定责任(决定岗):机关负责人审批后作出决定;对于不予行政许可的，书面告知申请人，并说明理由。</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69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2" w:hRule="atLeast"/>
        </w:trPr>
        <w:tc>
          <w:tcPr>
            <w:tcW w:w="570" w:type="dxa"/>
            <w:gridSpan w:val="2"/>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33" w:type="dxa"/>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085" w:type="dxa"/>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86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4.送达责任(送达岗):制作送达文书:将行政许可决定送达当事人:对于准予许可决定，应当公开供公众查询。</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69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570" w:type="dxa"/>
            <w:gridSpan w:val="2"/>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33" w:type="dxa"/>
            <w:vMerge w:val="continue"/>
            <w:tcBorders>
              <w:left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085" w:type="dxa"/>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86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5.事后监管责任(事后监管岗):加强对准予从事行政许可事项活动情况监督检查。</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69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74" w:hRule="atLeast"/>
        </w:trPr>
        <w:tc>
          <w:tcPr>
            <w:tcW w:w="570" w:type="dxa"/>
            <w:gridSpan w:val="2"/>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33"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08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86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6.法律、法规、規章规定的其他应履行的责任事项。</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69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9" w:hRule="atLeast"/>
        </w:trPr>
        <w:tc>
          <w:tcPr>
            <w:tcW w:w="5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职权类别</w:t>
            </w:r>
          </w:p>
        </w:tc>
        <w:tc>
          <w:tcPr>
            <w:tcW w:w="8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职权名称</w:t>
            </w:r>
          </w:p>
        </w:tc>
        <w:tc>
          <w:tcPr>
            <w:tcW w:w="28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实施依据</w:t>
            </w: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责任事项（岗位责任）</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办理期限（法定期限5日）</w:t>
            </w:r>
          </w:p>
        </w:tc>
        <w:tc>
          <w:tcPr>
            <w:tcW w:w="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收费情况</w:t>
            </w:r>
          </w:p>
        </w:tc>
        <w:tc>
          <w:tcPr>
            <w:tcW w:w="2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违法责任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 w:hRule="atLeast"/>
        </w:trPr>
        <w:tc>
          <w:tcPr>
            <w:tcW w:w="52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行 政 许 可 类</w:t>
            </w:r>
          </w:p>
        </w:tc>
        <w:tc>
          <w:tcPr>
            <w:tcW w:w="874"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2.对危化经营单位申请注销危险化学品经营许可证的行政许可</w:t>
            </w:r>
          </w:p>
        </w:tc>
        <w:tc>
          <w:tcPr>
            <w:tcW w:w="2876"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i w:val="0"/>
                <w:color w:val="000000"/>
                <w:kern w:val="0"/>
                <w:sz w:val="21"/>
                <w:szCs w:val="21"/>
                <w:u w:val="none"/>
                <w:lang w:val="en-US" w:eastAsia="zh-CN"/>
              </w:rPr>
            </w:pPr>
            <w:r>
              <w:rPr>
                <w:rFonts w:hint="eastAsia" w:ascii="仿宋_GB2312" w:hAnsi="仿宋_GB2312" w:eastAsia="仿宋_GB2312" w:cs="仿宋_GB2312"/>
                <w:i w:val="0"/>
                <w:color w:val="000000"/>
                <w:kern w:val="0"/>
                <w:sz w:val="21"/>
                <w:szCs w:val="21"/>
                <w:u w:val="none"/>
                <w:lang w:val="en-US" w:eastAsia="zh-CN"/>
              </w:rPr>
              <w:t>1.《中华人民共和国行政许可法》第三十一条：申请人申请行政许可，应当如实向行政机关提交有关材料和反映真实情况，并对其申请材料实质内容的真实性负责。  2.《危险化学品经营许可证管理办法》第二十七条　已经取得经营许可证的企业有下列情形之一的，发证机关应当注销其经营许可证：</w:t>
            </w:r>
            <w:r>
              <w:rPr>
                <w:rFonts w:hint="eastAsia" w:ascii="仿宋_GB2312" w:hAnsi="仿宋_GB2312" w:eastAsia="仿宋_GB2312" w:cs="仿宋_GB2312"/>
                <w:i w:val="0"/>
                <w:color w:val="000000"/>
                <w:kern w:val="0"/>
                <w:sz w:val="21"/>
                <w:szCs w:val="21"/>
                <w:u w:val="none"/>
                <w:lang w:val="en-US" w:eastAsia="zh-CN"/>
              </w:rPr>
              <w:br w:type="textWrapping"/>
            </w:r>
            <w:r>
              <w:rPr>
                <w:rFonts w:hint="eastAsia" w:ascii="仿宋_GB2312" w:hAnsi="仿宋_GB2312" w:eastAsia="仿宋_GB2312" w:cs="仿宋_GB2312"/>
                <w:i w:val="0"/>
                <w:color w:val="000000"/>
                <w:kern w:val="0"/>
                <w:sz w:val="21"/>
                <w:szCs w:val="21"/>
                <w:u w:val="none"/>
                <w:lang w:val="en-US" w:eastAsia="zh-CN"/>
              </w:rPr>
              <w:t>　　（一）经营许可证有效期届满未被批准延期的；</w:t>
            </w:r>
            <w:r>
              <w:rPr>
                <w:rFonts w:hint="eastAsia" w:ascii="仿宋_GB2312" w:hAnsi="仿宋_GB2312" w:eastAsia="仿宋_GB2312" w:cs="仿宋_GB2312"/>
                <w:i w:val="0"/>
                <w:color w:val="000000"/>
                <w:kern w:val="0"/>
                <w:sz w:val="21"/>
                <w:szCs w:val="21"/>
                <w:u w:val="none"/>
                <w:lang w:val="en-US" w:eastAsia="zh-CN"/>
              </w:rPr>
              <w:br w:type="textWrapping"/>
            </w:r>
            <w:r>
              <w:rPr>
                <w:rFonts w:hint="eastAsia" w:ascii="仿宋_GB2312" w:hAnsi="仿宋_GB2312" w:eastAsia="仿宋_GB2312" w:cs="仿宋_GB2312"/>
                <w:i w:val="0"/>
                <w:color w:val="000000"/>
                <w:kern w:val="0"/>
                <w:sz w:val="21"/>
                <w:szCs w:val="21"/>
                <w:u w:val="none"/>
                <w:lang w:val="en-US" w:eastAsia="zh-CN"/>
              </w:rPr>
              <w:t>　　（二）终止危险化学品经营活动的；</w:t>
            </w:r>
          </w:p>
          <w:p>
            <w:pPr>
              <w:widowControl/>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　　（三）经营许可证被依法撤销的；</w:t>
            </w:r>
            <w:r>
              <w:rPr>
                <w:rFonts w:hint="eastAsia" w:ascii="仿宋_GB2312" w:hAnsi="仿宋_GB2312" w:eastAsia="仿宋_GB2312" w:cs="仿宋_GB2312"/>
                <w:i w:val="0"/>
                <w:color w:val="000000"/>
                <w:kern w:val="0"/>
                <w:sz w:val="21"/>
                <w:szCs w:val="21"/>
                <w:u w:val="none"/>
                <w:lang w:val="en-US" w:eastAsia="zh-CN"/>
              </w:rPr>
              <w:br w:type="textWrapping"/>
            </w:r>
            <w:r>
              <w:rPr>
                <w:rFonts w:hint="eastAsia" w:ascii="仿宋_GB2312" w:hAnsi="仿宋_GB2312" w:eastAsia="仿宋_GB2312" w:cs="仿宋_GB2312"/>
                <w:i w:val="0"/>
                <w:color w:val="000000"/>
                <w:kern w:val="0"/>
                <w:sz w:val="21"/>
                <w:szCs w:val="21"/>
                <w:u w:val="none"/>
                <w:lang w:val="en-US" w:eastAsia="zh-CN"/>
              </w:rPr>
              <w:t>　　（四）经营许可证被依法吊销的。</w:t>
            </w: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1.受理责任(受理岗):接收行政许可申请材料:经机关负责人审批，依法受理或不予受理:不予受理的依法告知理由:申请材料不齐全的，一次性告知需补正的材料。</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54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否</w:t>
            </w:r>
          </w:p>
        </w:tc>
        <w:tc>
          <w:tcPr>
            <w:tcW w:w="26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w w:val="93"/>
                <w:kern w:val="0"/>
                <w:sz w:val="21"/>
                <w:szCs w:val="21"/>
                <w:u w:val="none"/>
                <w:lang w:val="en-US" w:eastAsia="zh-CN"/>
              </w:rPr>
              <w:t xml:space="preserve">    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r>
              <w:rPr>
                <w:rFonts w:hint="eastAsia" w:ascii="仿宋_GB2312" w:hAnsi="仿宋_GB2312" w:eastAsia="仿宋_GB2312" w:cs="仿宋_GB2312"/>
                <w:i w:val="0"/>
                <w:color w:val="000000"/>
                <w:w w:val="93"/>
                <w:kern w:val="0"/>
                <w:sz w:val="21"/>
                <w:szCs w:val="21"/>
                <w:u w:val="none"/>
                <w:lang w:val="en-US" w:eastAsia="zh-CN"/>
              </w:rPr>
              <w:br w:type="textWrapping"/>
            </w:r>
            <w:r>
              <w:rPr>
                <w:rFonts w:hint="eastAsia" w:ascii="仿宋_GB2312" w:hAnsi="仿宋_GB2312" w:eastAsia="仿宋_GB2312" w:cs="仿宋_GB2312"/>
                <w:i w:val="0"/>
                <w:color w:val="000000"/>
                <w:w w:val="93"/>
                <w:kern w:val="0"/>
                <w:sz w:val="21"/>
                <w:szCs w:val="21"/>
                <w:u w:val="none"/>
                <w:lang w:val="en-US" w:eastAsia="zh-CN"/>
              </w:rPr>
              <w:t xml:space="preserve">    行政执法人员未履行法定职责或者违法行使职权的，视情节轻重给子批评教育、离岗培训、调离执法岗位、取消行政执法资格等处理或者依法给予处分;构成犯罪的，依法追究刑事责任。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2.审查责任(审查岗):进行材料审查;需要现场核查的，组织专家现场核查，并书面告知申请人:根据需要征求有关部门意见:提出初审意见。涉及他人重大利益的，告知申请人和利害关系人陈述申辩权;依法应当听证或行政机关认为需要听证的，告知申请人、利害关系人听证权。</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7"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3.决定责任(决定岗):机关负责人审批后作出决定;对于不予行政许可的，书面告知申请人，并说明理由。</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92"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4.送达责任(送达岗):制作送达文书:将行政许可决定送达当事人:对于准予许可决定，应当公开供公众查询。</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12"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5.事后监管责任(事后监管岗):加强对准予从事行政许可事项活动情况监督检查。</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6.法律、法规、規章规定的其他应履行的责任事项。</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hAnsi="仿宋_GB2312" w:eastAsia="仿宋_GB2312" w:cs="仿宋_GB2312"/>
                <w:i w:val="0"/>
                <w:color w:val="000000"/>
                <w:sz w:val="21"/>
                <w:szCs w:val="21"/>
                <w:u w:val="none"/>
              </w:rPr>
            </w:pP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9" w:hRule="atLeast"/>
        </w:trPr>
        <w:tc>
          <w:tcPr>
            <w:tcW w:w="5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职权类别</w:t>
            </w:r>
          </w:p>
        </w:tc>
        <w:tc>
          <w:tcPr>
            <w:tcW w:w="8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职权名称</w:t>
            </w:r>
          </w:p>
        </w:tc>
        <w:tc>
          <w:tcPr>
            <w:tcW w:w="28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实施依据</w:t>
            </w: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责任事项（岗位责任）</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办理期限（法定期限30日）</w:t>
            </w:r>
          </w:p>
        </w:tc>
        <w:tc>
          <w:tcPr>
            <w:tcW w:w="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收费情况</w:t>
            </w:r>
          </w:p>
        </w:tc>
        <w:tc>
          <w:tcPr>
            <w:tcW w:w="2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违法责任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1" w:hRule="atLeast"/>
        </w:trPr>
        <w:tc>
          <w:tcPr>
            <w:tcW w:w="52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行 政 许 可 类</w:t>
            </w:r>
          </w:p>
        </w:tc>
        <w:tc>
          <w:tcPr>
            <w:tcW w:w="874"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3.对危化经营单位延期申请危险化学品经营许可证的行政许可</w:t>
            </w:r>
          </w:p>
        </w:tc>
        <w:tc>
          <w:tcPr>
            <w:tcW w:w="2876"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1.《中华人民共和国行政许可法》第三十一条：申请人申请行政许可，应当如实向行政机关提交有关材料和反映真实情况，并对其申请材料实质内容的真实性负责。  2. 《危险化学品经营许可证管理办法》第十八条 经营许可证的有效期为3年。有效期满后，企业需要继续从事危险化学品经营活动的，应当在经营许可证有效期满3个月前，向本办法第五条规定的发证机关提出经营许可证的延期申请，并提交延期申请书及本办法第九条规定的申请文件、资料。</w:t>
            </w: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1.受理责任(受理岗):接收行政许可申请材料:经机关负责人审批，依法受理或不予受理:不予受理的依法告知理由:申请材料不齐全的，一次性告知需补正的材料。</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2</w:t>
            </w:r>
          </w:p>
        </w:tc>
        <w:tc>
          <w:tcPr>
            <w:tcW w:w="54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否</w:t>
            </w:r>
          </w:p>
        </w:tc>
        <w:tc>
          <w:tcPr>
            <w:tcW w:w="26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 xml:space="preserve">     行政机关未履行法定</w:t>
            </w:r>
            <w:r>
              <w:rPr>
                <w:rFonts w:hint="eastAsia" w:ascii="仿宋_GB2312" w:hAnsi="仿宋_GB2312" w:eastAsia="仿宋_GB2312" w:cs="仿宋_GB2312"/>
                <w:i w:val="0"/>
                <w:color w:val="000000"/>
                <w:w w:val="93"/>
                <w:kern w:val="0"/>
                <w:sz w:val="21"/>
                <w:szCs w:val="21"/>
                <w:u w:val="none"/>
                <w:lang w:val="en-US" w:eastAsia="zh-CN"/>
              </w:rPr>
              <w:t xml:space="preserve">    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r>
              <w:rPr>
                <w:rFonts w:hint="eastAsia" w:ascii="仿宋_GB2312" w:hAnsi="仿宋_GB2312" w:eastAsia="仿宋_GB2312" w:cs="仿宋_GB2312"/>
                <w:i w:val="0"/>
                <w:color w:val="000000"/>
                <w:w w:val="93"/>
                <w:kern w:val="0"/>
                <w:sz w:val="21"/>
                <w:szCs w:val="21"/>
                <w:u w:val="none"/>
                <w:lang w:val="en-US" w:eastAsia="zh-CN"/>
              </w:rPr>
              <w:br w:type="textWrapping"/>
            </w:r>
            <w:r>
              <w:rPr>
                <w:rFonts w:hint="eastAsia" w:ascii="仿宋_GB2312" w:hAnsi="仿宋_GB2312" w:eastAsia="仿宋_GB2312" w:cs="仿宋_GB2312"/>
                <w:i w:val="0"/>
                <w:color w:val="000000"/>
                <w:w w:val="93"/>
                <w:kern w:val="0"/>
                <w:sz w:val="21"/>
                <w:szCs w:val="21"/>
                <w:u w:val="none"/>
                <w:lang w:val="en-US" w:eastAsia="zh-CN"/>
              </w:rPr>
              <w:t xml:space="preserve">    行政执法人员未履行法定职责或者违法行使职权的，视情节轻重给子批评教育、离岗培训、调离执法岗位、取消行政执法资格等处理或者依法给予处分;构成犯罪的，依法追究刑事责任。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9"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2.审查责任(审查岗):进行材料审查;需要现场核查的，组织专家现场核查，并书面告知申请人:根据需要征求有关部门意见:提出初审意见。涉及他人重大利益的，告知申请人和利害关系人陈述申辩权;依法应当听证或行政机关认为需要听证的，告知申请人、利害关系人听证权。</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w:t>
            </w: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4"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3.决定责任(决定岗):机关负责人审批后作出决定;对于不予行政许可的，书面告知申请人，并说明理由。</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47"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4.送达责任(送达岗):制作送达文书:将行政许可决定送达当事人:对于准予许可决定，应当公开供公众查询。</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2"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5.事后监管责任(事后监管岗):加强对准予从事行政许可事项活动情况监督检查。</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hAnsi="仿宋_GB2312" w:eastAsia="仿宋_GB2312" w:cs="仿宋_GB2312"/>
                <w:i w:val="0"/>
                <w:color w:val="000000"/>
                <w:sz w:val="21"/>
                <w:szCs w:val="21"/>
                <w:u w:val="none"/>
              </w:rPr>
            </w:pP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9"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6.法律、法规、規章规定的其他应履行的责任事项。</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_GB2312" w:hAnsi="仿宋_GB2312" w:eastAsia="仿宋_GB2312" w:cs="仿宋_GB2312"/>
                <w:i w:val="0"/>
                <w:color w:val="000000"/>
                <w:sz w:val="21"/>
                <w:szCs w:val="21"/>
                <w:u w:val="none"/>
              </w:rPr>
            </w:pP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9" w:hRule="atLeast"/>
        </w:trPr>
        <w:tc>
          <w:tcPr>
            <w:tcW w:w="5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职权类别</w:t>
            </w:r>
          </w:p>
        </w:tc>
        <w:tc>
          <w:tcPr>
            <w:tcW w:w="8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职权名称</w:t>
            </w:r>
          </w:p>
        </w:tc>
        <w:tc>
          <w:tcPr>
            <w:tcW w:w="28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实施依据</w:t>
            </w: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责任事项（岗位责任）</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办理期限法定期限10日）</w:t>
            </w:r>
          </w:p>
        </w:tc>
        <w:tc>
          <w:tcPr>
            <w:tcW w:w="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收费情况</w:t>
            </w:r>
          </w:p>
        </w:tc>
        <w:tc>
          <w:tcPr>
            <w:tcW w:w="2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违法责任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 w:hRule="atLeast"/>
        </w:trPr>
        <w:tc>
          <w:tcPr>
            <w:tcW w:w="52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行 政 许 可 类</w:t>
            </w:r>
          </w:p>
        </w:tc>
        <w:tc>
          <w:tcPr>
            <w:tcW w:w="874"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4.对危化经营单位变更申请危险化学品经营许可证的行政许可</w:t>
            </w:r>
          </w:p>
        </w:tc>
        <w:tc>
          <w:tcPr>
            <w:tcW w:w="2876"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1.《中华人民共和国行政许可法》第三十一条：申请人申请行政许可，应当如实向行政机关提交有关材料和反映真实情况，并对其申请材料实质内容的真实性负责。  2. 《危险化学品经营许可证管理办法》第十四条 已经取得经营许可证的企业变更企业名称、主要负责人、注册地址或者危险化学品储存设施及其监控措施的，应当自变更之日起20个工作日内，向本办法第五条规定的发证机关提出书面变更申请。</w:t>
            </w: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1.受理责任(受理岗):接收行政许可申请材料:经机关负责人审批，依法受理或不予受理:不予受理的依法告知理由:申请材料不齐全的，一次性告知需补正的材料。</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54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否</w:t>
            </w:r>
          </w:p>
        </w:tc>
        <w:tc>
          <w:tcPr>
            <w:tcW w:w="26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 xml:space="preserve">      行政机关未履行法定</w:t>
            </w:r>
            <w:r>
              <w:rPr>
                <w:rFonts w:hint="eastAsia" w:ascii="仿宋_GB2312" w:hAnsi="仿宋_GB2312" w:eastAsia="仿宋_GB2312" w:cs="仿宋_GB2312"/>
                <w:i w:val="0"/>
                <w:color w:val="000000"/>
                <w:w w:val="93"/>
                <w:kern w:val="0"/>
                <w:sz w:val="21"/>
                <w:szCs w:val="21"/>
                <w:u w:val="none"/>
                <w:lang w:val="en-US" w:eastAsia="zh-CN"/>
              </w:rPr>
              <w:t xml:space="preserve">    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r>
              <w:rPr>
                <w:rFonts w:hint="eastAsia" w:ascii="仿宋_GB2312" w:hAnsi="仿宋_GB2312" w:eastAsia="仿宋_GB2312" w:cs="仿宋_GB2312"/>
                <w:i w:val="0"/>
                <w:color w:val="000000"/>
                <w:w w:val="93"/>
                <w:kern w:val="0"/>
                <w:sz w:val="21"/>
                <w:szCs w:val="21"/>
                <w:u w:val="none"/>
                <w:lang w:val="en-US" w:eastAsia="zh-CN"/>
              </w:rPr>
              <w:br w:type="textWrapping"/>
            </w:r>
            <w:r>
              <w:rPr>
                <w:rFonts w:hint="eastAsia" w:ascii="仿宋_GB2312" w:hAnsi="仿宋_GB2312" w:eastAsia="仿宋_GB2312" w:cs="仿宋_GB2312"/>
                <w:i w:val="0"/>
                <w:color w:val="000000"/>
                <w:w w:val="93"/>
                <w:kern w:val="0"/>
                <w:sz w:val="21"/>
                <w:szCs w:val="21"/>
                <w:u w:val="none"/>
                <w:lang w:val="en-US" w:eastAsia="zh-CN"/>
              </w:rPr>
              <w:t xml:space="preserve">    行政执法人员未履行法定职责或者违法行使职权的，视情节轻重给子批评教育、离岗培训、调离执法岗位、取消行政执法资格等处理或者依法给予处分;构成犯罪的，依法追究刑事责任。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01"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2.审查责任(审查岗):进行材料审查;需要现场核查的，组织专家现场核查，并书面告知申请人:根据需要征求有关部门意见:提出初审意见。涉及他人重大利益的，告知申请人和利害关系人陈述申辩权;依法应当听证或行政机关认为需要听证的，告知申请人、利害关系人听证权。</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3</w:t>
            </w: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11"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3.决定责任(决定岗):机关负责人审批后作出决定;对于不予行政许可的，书面告知申请人，并说明理由。</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2"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4.送达责任(送达岗):制作送达文书:将行政许可决定送达当事人:对于准予许可决定，应当公开供公众查询。</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1"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5.事后监管责任(事后监管岗):加强对准予从事行政许可事项活动情况监督检查。</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8"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6.法律、法规、規章规定的其他应履行的责任事项。</w:t>
            </w:r>
          </w:p>
        </w:tc>
        <w:tc>
          <w:tcPr>
            <w:tcW w:w="14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p>
            <w:pPr>
              <w:jc w:val="center"/>
              <w:rPr>
                <w:rFonts w:hint="eastAsia" w:ascii="仿宋_GB2312" w:hAnsi="仿宋_GB2312" w:eastAsia="仿宋_GB2312" w:cs="仿宋_GB2312"/>
                <w:i w:val="0"/>
                <w:color w:val="000000"/>
                <w:sz w:val="21"/>
                <w:szCs w:val="21"/>
                <w:u w:val="none"/>
              </w:rPr>
            </w:pPr>
          </w:p>
          <w:p>
            <w:pPr>
              <w:jc w:val="center"/>
              <w:rPr>
                <w:rFonts w:hint="eastAsia" w:ascii="仿宋_GB2312" w:hAnsi="仿宋_GB2312" w:eastAsia="仿宋_GB2312" w:cs="仿宋_GB2312"/>
                <w:i w:val="0"/>
                <w:color w:val="000000"/>
                <w:sz w:val="21"/>
                <w:szCs w:val="21"/>
                <w:u w:val="none"/>
              </w:rPr>
            </w:pPr>
          </w:p>
          <w:p>
            <w:pPr>
              <w:jc w:val="center"/>
              <w:rPr>
                <w:rFonts w:hint="eastAsia" w:ascii="仿宋_GB2312" w:hAnsi="仿宋_GB2312" w:eastAsia="仿宋_GB2312" w:cs="仿宋_GB2312"/>
                <w:i w:val="0"/>
                <w:color w:val="000000"/>
                <w:sz w:val="21"/>
                <w:szCs w:val="21"/>
                <w:u w:val="none"/>
              </w:rPr>
            </w:pPr>
          </w:p>
          <w:p>
            <w:pPr>
              <w:jc w:val="center"/>
              <w:rPr>
                <w:rFonts w:hint="eastAsia" w:ascii="仿宋_GB2312" w:hAnsi="仿宋_GB2312" w:eastAsia="仿宋_GB2312" w:cs="仿宋_GB2312"/>
                <w:i w:val="0"/>
                <w:color w:val="000000"/>
                <w:sz w:val="21"/>
                <w:szCs w:val="21"/>
                <w:u w:val="none"/>
              </w:rPr>
            </w:pPr>
          </w:p>
        </w:tc>
        <w:tc>
          <w:tcPr>
            <w:tcW w:w="5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9" w:hRule="atLeast"/>
        </w:trPr>
        <w:tc>
          <w:tcPr>
            <w:tcW w:w="5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职权类别</w:t>
            </w:r>
          </w:p>
        </w:tc>
        <w:tc>
          <w:tcPr>
            <w:tcW w:w="8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职权名称</w:t>
            </w:r>
          </w:p>
        </w:tc>
        <w:tc>
          <w:tcPr>
            <w:tcW w:w="28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实施依据</w:t>
            </w: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责任事项（岗位责任）</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办理期限（法定期限20日）</w:t>
            </w:r>
          </w:p>
        </w:tc>
        <w:tc>
          <w:tcPr>
            <w:tcW w:w="69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收费情况</w:t>
            </w:r>
          </w:p>
        </w:tc>
        <w:tc>
          <w:tcPr>
            <w:tcW w:w="2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rPr>
              <w:t>违法责任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 w:hRule="atLeast"/>
        </w:trPr>
        <w:tc>
          <w:tcPr>
            <w:tcW w:w="52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行 政 许 可 类</w:t>
            </w:r>
          </w:p>
        </w:tc>
        <w:tc>
          <w:tcPr>
            <w:tcW w:w="874"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5.对危化生产、储存单位建设项目安全设施设计审查简易程序申请的行政许可</w:t>
            </w:r>
          </w:p>
        </w:tc>
        <w:tc>
          <w:tcPr>
            <w:tcW w:w="2876" w:type="dxa"/>
            <w:gridSpan w:val="2"/>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i w:val="0"/>
                <w:color w:val="000000"/>
                <w:kern w:val="0"/>
                <w:sz w:val="21"/>
                <w:szCs w:val="21"/>
                <w:u w:val="none"/>
                <w:lang w:val="en-US" w:eastAsia="zh-CN"/>
              </w:rPr>
            </w:pPr>
            <w:r>
              <w:rPr>
                <w:rFonts w:hint="eastAsia" w:ascii="仿宋_GB2312" w:hAnsi="仿宋_GB2312" w:eastAsia="仿宋_GB2312" w:cs="仿宋_GB2312"/>
                <w:i w:val="0"/>
                <w:color w:val="000000"/>
                <w:kern w:val="0"/>
                <w:sz w:val="21"/>
                <w:szCs w:val="21"/>
                <w:u w:val="none"/>
                <w:lang w:val="en-US" w:eastAsia="zh-CN"/>
              </w:rPr>
              <w:t>1.《中华人民共和国行政许可法》第三十一条：</w:t>
            </w:r>
          </w:p>
          <w:p>
            <w:pPr>
              <w:widowControl/>
              <w:jc w:val="both"/>
              <w:textAlignment w:val="center"/>
              <w:rPr>
                <w:rFonts w:hint="eastAsia" w:ascii="仿宋_GB2312" w:hAnsi="仿宋_GB2312" w:eastAsia="仿宋_GB2312" w:cs="仿宋_GB2312"/>
                <w:i w:val="0"/>
                <w:color w:val="000000"/>
                <w:kern w:val="0"/>
                <w:sz w:val="21"/>
                <w:szCs w:val="21"/>
                <w:u w:val="none"/>
                <w:lang w:val="en-US" w:eastAsia="zh-CN"/>
              </w:rPr>
            </w:pPr>
            <w:r>
              <w:rPr>
                <w:rFonts w:hint="eastAsia" w:ascii="仿宋_GB2312" w:hAnsi="仿宋_GB2312" w:eastAsia="仿宋_GB2312" w:cs="仿宋_GB2312"/>
                <w:i w:val="0"/>
                <w:color w:val="000000"/>
                <w:kern w:val="0"/>
                <w:sz w:val="21"/>
                <w:szCs w:val="21"/>
                <w:u w:val="none"/>
                <w:lang w:val="en-US" w:eastAsia="zh-CN"/>
              </w:rPr>
              <w:t>2.《危险化学品建设项目安全监督管理办法》第十六条</w:t>
            </w:r>
          </w:p>
          <w:p>
            <w:pPr>
              <w:widowControl/>
              <w:jc w:val="both"/>
              <w:textAlignment w:val="center"/>
              <w:rPr>
                <w:rFonts w:hint="eastAsia" w:ascii="仿宋_GB2312" w:hAnsi="仿宋_GB2312" w:eastAsia="仿宋_GB2312" w:cs="仿宋_GB2312"/>
                <w:i w:val="0"/>
                <w:color w:val="000000"/>
                <w:kern w:val="0"/>
                <w:sz w:val="21"/>
                <w:szCs w:val="21"/>
                <w:u w:val="none"/>
                <w:lang w:val="en-US" w:eastAsia="zh-CN"/>
              </w:rPr>
            </w:pPr>
            <w:r>
              <w:rPr>
                <w:rFonts w:hint="eastAsia" w:ascii="仿宋_GB2312" w:hAnsi="仿宋_GB2312" w:eastAsia="仿宋_GB2312" w:cs="仿宋_GB2312"/>
                <w:i w:val="0"/>
                <w:color w:val="000000"/>
                <w:kern w:val="0"/>
                <w:sz w:val="21"/>
                <w:szCs w:val="21"/>
                <w:u w:val="none"/>
                <w:lang w:val="en-US" w:eastAsia="zh-CN"/>
              </w:rPr>
              <w:t>3.《危险化学品建设项目安全监督管理办法》第四十条</w:t>
            </w:r>
          </w:p>
          <w:p>
            <w:pPr>
              <w:widowControl/>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4.《危险化学品建设项目安全监督管理办法》第十条</w:t>
            </w: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1.受理责任(受理岗):接收行政许可申请材料:经机关负责人审批，依法受理或不予受理:不予受理的依法告知理由:申请材料不齐全的，一次性告知需补正的材料。</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2</w:t>
            </w:r>
          </w:p>
        </w:tc>
        <w:tc>
          <w:tcPr>
            <w:tcW w:w="69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否</w:t>
            </w:r>
          </w:p>
        </w:tc>
        <w:tc>
          <w:tcPr>
            <w:tcW w:w="26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 xml:space="preserve">    行政机关未履行法定</w:t>
            </w:r>
            <w:r>
              <w:rPr>
                <w:rFonts w:hint="eastAsia" w:ascii="仿宋_GB2312" w:hAnsi="仿宋_GB2312" w:eastAsia="仿宋_GB2312" w:cs="仿宋_GB2312"/>
                <w:i w:val="0"/>
                <w:color w:val="000000"/>
                <w:w w:val="93"/>
                <w:kern w:val="0"/>
                <w:sz w:val="21"/>
                <w:szCs w:val="21"/>
                <w:u w:val="none"/>
                <w:lang w:val="en-US" w:eastAsia="zh-CN"/>
              </w:rPr>
              <w:t xml:space="preserve">    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r>
              <w:rPr>
                <w:rFonts w:hint="eastAsia" w:ascii="仿宋_GB2312" w:hAnsi="仿宋_GB2312" w:eastAsia="仿宋_GB2312" w:cs="仿宋_GB2312"/>
                <w:i w:val="0"/>
                <w:color w:val="000000"/>
                <w:w w:val="93"/>
                <w:kern w:val="0"/>
                <w:sz w:val="21"/>
                <w:szCs w:val="21"/>
                <w:u w:val="none"/>
                <w:lang w:val="en-US" w:eastAsia="zh-CN"/>
              </w:rPr>
              <w:br w:type="textWrapping"/>
            </w:r>
            <w:r>
              <w:rPr>
                <w:rFonts w:hint="eastAsia" w:ascii="仿宋_GB2312" w:hAnsi="仿宋_GB2312" w:eastAsia="仿宋_GB2312" w:cs="仿宋_GB2312"/>
                <w:i w:val="0"/>
                <w:color w:val="000000"/>
                <w:w w:val="93"/>
                <w:kern w:val="0"/>
                <w:sz w:val="21"/>
                <w:szCs w:val="21"/>
                <w:u w:val="none"/>
                <w:lang w:val="en-US" w:eastAsia="zh-CN"/>
              </w:rPr>
              <w:t xml:space="preserve">    行政执法人员未履行法定职责或者违法行使职权的，视情节轻重给子批评教育、离岗培训、调离执法岗位、取消行政执法资格等处理或者依法给予处分;构成犯罪的，依法追究刑事责任。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49"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2.审查责任(审查岗):进行材料审查;需要现场核查的，组织专家现场核查，并书面告知申请人:根据需要征求有关部门意见:提出初审意见。涉及他人重大利益的，告知申请人和利害关系人陈述申辩权;依法应当听证或行政机关认为需要听证的，告知申请人、利害关系人听证权。</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w:t>
            </w:r>
          </w:p>
        </w:tc>
        <w:tc>
          <w:tcPr>
            <w:tcW w:w="69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3"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3.决定责任(决定岗):机关负责人审批后作出决定;对于不予行政许可的，书面告知申请人，并说明理由。</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69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2"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left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4.送达责任(送达岗):制作送达文书:将行政许可决定送达当事人:对于准予许可决定，应当公开供公众查询。</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1</w:t>
            </w:r>
          </w:p>
        </w:tc>
        <w:tc>
          <w:tcPr>
            <w:tcW w:w="69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24" w:hRule="atLeast"/>
        </w:trPr>
        <w:tc>
          <w:tcPr>
            <w:tcW w:w="52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876" w:type="dxa"/>
            <w:gridSpan w:val="2"/>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c>
          <w:tcPr>
            <w:tcW w:w="50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rPr>
              <w:t>5.事后监管责任(事后监管岗):加强对准予从事行政许可事项活动情况监督检查。</w:t>
            </w:r>
          </w:p>
        </w:tc>
        <w:tc>
          <w:tcPr>
            <w:tcW w:w="13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p>
            <w:pPr>
              <w:jc w:val="center"/>
              <w:rPr>
                <w:rFonts w:hint="eastAsia" w:ascii="仿宋_GB2312" w:hAnsi="仿宋_GB2312" w:eastAsia="仿宋_GB2312" w:cs="仿宋_GB2312"/>
                <w:i w:val="0"/>
                <w:color w:val="000000"/>
                <w:sz w:val="21"/>
                <w:szCs w:val="21"/>
                <w:u w:val="none"/>
              </w:rPr>
            </w:pPr>
          </w:p>
          <w:p>
            <w:pPr>
              <w:jc w:val="center"/>
              <w:rPr>
                <w:rFonts w:hint="eastAsia" w:ascii="仿宋_GB2312" w:hAnsi="仿宋_GB2312" w:eastAsia="仿宋_GB2312" w:cs="仿宋_GB2312"/>
                <w:i w:val="0"/>
                <w:color w:val="000000"/>
                <w:sz w:val="21"/>
                <w:szCs w:val="21"/>
                <w:u w:val="none"/>
              </w:rPr>
            </w:pPr>
          </w:p>
          <w:p>
            <w:pPr>
              <w:jc w:val="center"/>
              <w:rPr>
                <w:rFonts w:hint="eastAsia" w:ascii="仿宋_GB2312" w:hAnsi="仿宋_GB2312" w:eastAsia="仿宋_GB2312" w:cs="仿宋_GB2312"/>
                <w:i w:val="0"/>
                <w:color w:val="000000"/>
                <w:sz w:val="21"/>
                <w:szCs w:val="21"/>
                <w:u w:val="none"/>
              </w:rPr>
            </w:pPr>
          </w:p>
          <w:p>
            <w:pPr>
              <w:jc w:val="center"/>
              <w:rPr>
                <w:rFonts w:hint="eastAsia" w:ascii="仿宋_GB2312" w:hAnsi="仿宋_GB2312" w:eastAsia="仿宋_GB2312" w:cs="仿宋_GB2312"/>
                <w:i w:val="0"/>
                <w:color w:val="000000"/>
                <w:sz w:val="21"/>
                <w:szCs w:val="21"/>
                <w:u w:val="none"/>
              </w:rPr>
            </w:pPr>
          </w:p>
          <w:p>
            <w:pPr>
              <w:jc w:val="center"/>
              <w:rPr>
                <w:rFonts w:hint="eastAsia" w:ascii="仿宋_GB2312" w:hAnsi="仿宋_GB2312" w:eastAsia="仿宋_GB2312" w:cs="仿宋_GB2312"/>
                <w:i w:val="0"/>
                <w:color w:val="000000"/>
                <w:sz w:val="21"/>
                <w:szCs w:val="21"/>
                <w:u w:val="none"/>
              </w:rPr>
            </w:pPr>
          </w:p>
        </w:tc>
        <w:tc>
          <w:tcPr>
            <w:tcW w:w="69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rPr>
            </w:pPr>
          </w:p>
        </w:tc>
        <w:tc>
          <w:tcPr>
            <w:tcW w:w="26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both"/>
              <w:rPr>
                <w:rFonts w:hint="eastAsia" w:ascii="仿宋_GB2312" w:hAnsi="仿宋_GB2312" w:eastAsia="仿宋_GB2312" w:cs="仿宋_GB2312"/>
                <w:i w:val="0"/>
                <w:color w:val="000000"/>
                <w:sz w:val="21"/>
                <w:szCs w:val="21"/>
                <w:u w:val="none"/>
              </w:rPr>
            </w:pPr>
          </w:p>
        </w:tc>
      </w:tr>
    </w:tbl>
    <w:p>
      <w:pPr>
        <w:jc w:val="center"/>
        <w:rPr>
          <w:rFonts w:hint="eastAsia"/>
          <w:sz w:val="21"/>
          <w:szCs w:val="21"/>
          <w:lang w:eastAsia="zh-CN"/>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6143"/>
        <w:gridCol w:w="1055"/>
        <w:gridCol w:w="795"/>
        <w:gridCol w:w="2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ascii="黑体" w:hAnsi="黑体" w:eastAsia="黑体"/>
                <w:sz w:val="21"/>
                <w:szCs w:val="21"/>
              </w:rPr>
            </w:pPr>
            <w:r>
              <w:rPr>
                <w:rFonts w:hint="eastAsia" w:ascii="黑体" w:hAnsi="黑体" w:eastAsia="黑体"/>
                <w:sz w:val="21"/>
                <w:szCs w:val="21"/>
              </w:rPr>
              <w:t>职权</w:t>
            </w:r>
          </w:p>
          <w:p>
            <w:pPr>
              <w:spacing w:line="240" w:lineRule="atLeast"/>
              <w:jc w:val="center"/>
              <w:rPr>
                <w:rFonts w:ascii="黑体" w:hAnsi="黑体" w:eastAsia="黑体"/>
                <w:sz w:val="21"/>
                <w:szCs w:val="21"/>
              </w:rPr>
            </w:pPr>
            <w:r>
              <w:rPr>
                <w:rFonts w:hint="eastAsia" w:ascii="黑体" w:hAnsi="黑体" w:eastAsia="黑体"/>
                <w:sz w:val="21"/>
                <w:szCs w:val="21"/>
              </w:rPr>
              <w:t>类别</w:t>
            </w:r>
          </w:p>
        </w:tc>
        <w:tc>
          <w:tcPr>
            <w:tcW w:w="1276" w:type="dxa"/>
            <w:vAlign w:val="center"/>
          </w:tcPr>
          <w:p>
            <w:pPr>
              <w:spacing w:line="240" w:lineRule="atLeast"/>
              <w:jc w:val="center"/>
              <w:rPr>
                <w:rFonts w:ascii="黑体" w:hAnsi="黑体" w:eastAsia="黑体"/>
                <w:sz w:val="21"/>
                <w:szCs w:val="21"/>
              </w:rPr>
            </w:pPr>
            <w:r>
              <w:rPr>
                <w:rFonts w:hint="eastAsia" w:ascii="黑体" w:hAnsi="黑体" w:eastAsia="黑体"/>
                <w:sz w:val="21"/>
                <w:szCs w:val="21"/>
              </w:rPr>
              <w:t>职权名称</w:t>
            </w:r>
          </w:p>
        </w:tc>
        <w:tc>
          <w:tcPr>
            <w:tcW w:w="1843" w:type="dxa"/>
            <w:vAlign w:val="center"/>
          </w:tcPr>
          <w:p>
            <w:pPr>
              <w:spacing w:line="240" w:lineRule="atLeast"/>
              <w:jc w:val="center"/>
              <w:rPr>
                <w:rFonts w:ascii="黑体" w:hAnsi="黑体" w:eastAsia="黑体"/>
                <w:sz w:val="21"/>
                <w:szCs w:val="21"/>
              </w:rPr>
            </w:pPr>
            <w:r>
              <w:rPr>
                <w:rFonts w:hint="eastAsia" w:ascii="黑体" w:hAnsi="黑体" w:eastAsia="黑体"/>
                <w:sz w:val="21"/>
                <w:szCs w:val="21"/>
              </w:rPr>
              <w:t>实施依据</w:t>
            </w:r>
          </w:p>
        </w:tc>
        <w:tc>
          <w:tcPr>
            <w:tcW w:w="6143" w:type="dxa"/>
            <w:vAlign w:val="center"/>
          </w:tcPr>
          <w:p>
            <w:pPr>
              <w:spacing w:line="240" w:lineRule="atLeast"/>
              <w:jc w:val="center"/>
              <w:rPr>
                <w:rFonts w:ascii="黑体" w:hAnsi="黑体" w:eastAsia="黑体"/>
                <w:sz w:val="21"/>
                <w:szCs w:val="21"/>
              </w:rPr>
            </w:pPr>
            <w:r>
              <w:rPr>
                <w:rFonts w:hint="eastAsia" w:ascii="黑体" w:hAnsi="黑体" w:eastAsia="黑体"/>
                <w:sz w:val="21"/>
                <w:szCs w:val="21"/>
              </w:rPr>
              <w:t>责任事项（岗位责任）</w:t>
            </w:r>
          </w:p>
        </w:tc>
        <w:tc>
          <w:tcPr>
            <w:tcW w:w="1055" w:type="dxa"/>
            <w:vAlign w:val="center"/>
          </w:tcPr>
          <w:p>
            <w:pPr>
              <w:spacing w:line="240" w:lineRule="atLeast"/>
              <w:jc w:val="center"/>
              <w:rPr>
                <w:rFonts w:ascii="黑体" w:hAnsi="黑体" w:eastAsia="黑体"/>
                <w:sz w:val="21"/>
                <w:szCs w:val="21"/>
              </w:rPr>
            </w:pPr>
            <w:r>
              <w:rPr>
                <w:rFonts w:hint="eastAsia" w:ascii="黑体" w:hAnsi="黑体" w:eastAsia="黑体"/>
                <w:sz w:val="21"/>
                <w:szCs w:val="21"/>
              </w:rPr>
              <w:t>办理期限</w:t>
            </w:r>
          </w:p>
        </w:tc>
        <w:tc>
          <w:tcPr>
            <w:tcW w:w="795" w:type="dxa"/>
            <w:vAlign w:val="center"/>
          </w:tcPr>
          <w:p>
            <w:pPr>
              <w:spacing w:line="240" w:lineRule="atLeast"/>
              <w:jc w:val="center"/>
              <w:rPr>
                <w:rFonts w:ascii="黑体" w:hAnsi="黑体" w:eastAsia="黑体"/>
                <w:sz w:val="21"/>
                <w:szCs w:val="21"/>
              </w:rPr>
            </w:pPr>
            <w:r>
              <w:rPr>
                <w:rFonts w:hint="eastAsia" w:ascii="黑体" w:hAnsi="黑体" w:eastAsia="黑体"/>
                <w:sz w:val="21"/>
                <w:szCs w:val="21"/>
              </w:rPr>
              <w:t>收费情况</w:t>
            </w:r>
          </w:p>
        </w:tc>
        <w:tc>
          <w:tcPr>
            <w:tcW w:w="2638" w:type="dxa"/>
            <w:vAlign w:val="center"/>
          </w:tcPr>
          <w:p>
            <w:pPr>
              <w:spacing w:line="240" w:lineRule="atLeast"/>
              <w:jc w:val="center"/>
              <w:rPr>
                <w:rFonts w:ascii="黑体" w:hAnsi="黑体" w:eastAsia="黑体"/>
                <w:sz w:val="21"/>
                <w:szCs w:val="21"/>
              </w:rPr>
            </w:pPr>
            <w:r>
              <w:rPr>
                <w:rFonts w:hint="eastAsia" w:ascii="黑体" w:hAnsi="黑体" w:eastAsia="黑体"/>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817"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行政许可类</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其他金属冶炼建设项目安全设施设计审查的行政许可</w:t>
            </w:r>
          </w:p>
        </w:tc>
        <w:tc>
          <w:tcPr>
            <w:tcW w:w="1843"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《建设项目安全设施“三同时”监督管理办法》（原国家安全监管总局36号令</w:t>
            </w:r>
            <w:r>
              <w:rPr>
                <w:rFonts w:hint="eastAsia" w:ascii="仿宋" w:hAnsi="仿宋" w:eastAsia="仿宋"/>
                <w:sz w:val="21"/>
                <w:szCs w:val="21"/>
                <w:lang w:eastAsia="zh-CN"/>
              </w:rPr>
              <w:t>，</w:t>
            </w:r>
            <w:r>
              <w:rPr>
                <w:rFonts w:hint="eastAsia" w:ascii="仿宋" w:hAnsi="仿宋" w:eastAsia="仿宋"/>
                <w:sz w:val="21"/>
                <w:szCs w:val="21"/>
              </w:rPr>
              <w:t>根据2015年4月2日国家安全监管总局令第77号修正）第十二条本办法第七条第（一）项、第（二）项、第（三）项、第（四）项规定</w:t>
            </w:r>
          </w:p>
        </w:tc>
        <w:tc>
          <w:tcPr>
            <w:tcW w:w="6143" w:type="dxa"/>
            <w:tcBorders>
              <w:bottom w:val="single" w:color="auto" w:sz="4" w:space="0"/>
            </w:tcBorders>
            <w:vAlign w:val="center"/>
          </w:tcPr>
          <w:p>
            <w:pPr>
              <w:spacing w:line="240" w:lineRule="atLeast"/>
              <w:jc w:val="left"/>
              <w:rPr>
                <w:rFonts w:ascii="仿宋" w:hAnsi="仿宋" w:eastAsia="仿宋"/>
                <w:sz w:val="21"/>
                <w:szCs w:val="21"/>
              </w:rPr>
            </w:pPr>
            <w:r>
              <w:rPr>
                <w:rFonts w:ascii="仿宋" w:hAnsi="仿宋" w:eastAsia="仿宋"/>
                <w:sz w:val="21"/>
                <w:szCs w:val="21"/>
              </w:rPr>
              <w:t>1.</w:t>
            </w:r>
            <w:r>
              <w:rPr>
                <w:rFonts w:hint="eastAsia" w:ascii="仿宋" w:hAnsi="仿宋" w:eastAsia="仿宋"/>
                <w:sz w:val="21"/>
                <w:szCs w:val="21"/>
              </w:rPr>
              <w:t>受理责任（手受理岗）：接受行政许可申请材料；经机关负责人审批，依法受理或者不予受理；不予受理的依法告知理由；申请材料不齐全的，一次性告知需补正材料。</w:t>
            </w:r>
          </w:p>
        </w:tc>
        <w:tc>
          <w:tcPr>
            <w:tcW w:w="1055" w:type="dxa"/>
            <w:vAlign w:val="center"/>
          </w:tcPr>
          <w:p>
            <w:pPr>
              <w:spacing w:line="240" w:lineRule="atLeast"/>
              <w:jc w:val="center"/>
              <w:rPr>
                <w:rFonts w:ascii="仿宋" w:hAnsi="仿宋" w:eastAsia="仿宋"/>
                <w:sz w:val="21"/>
                <w:szCs w:val="21"/>
              </w:rPr>
            </w:pPr>
            <w:r>
              <w:rPr>
                <w:rFonts w:ascii="仿宋" w:hAnsi="仿宋" w:eastAsia="仿宋"/>
                <w:sz w:val="21"/>
                <w:szCs w:val="21"/>
              </w:rPr>
              <w:t>5</w:t>
            </w:r>
            <w:r>
              <w:rPr>
                <w:rFonts w:hint="eastAsia" w:ascii="仿宋" w:hAnsi="仿宋" w:eastAsia="仿宋"/>
                <w:sz w:val="21"/>
                <w:szCs w:val="21"/>
              </w:rPr>
              <w:t>日</w:t>
            </w:r>
          </w:p>
        </w:tc>
        <w:tc>
          <w:tcPr>
            <w:tcW w:w="795"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否</w:t>
            </w:r>
          </w:p>
        </w:tc>
        <w:tc>
          <w:tcPr>
            <w:tcW w:w="2638"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6143" w:type="dxa"/>
            <w:tcBorders>
              <w:bottom w:val="single" w:color="auto" w:sz="4" w:space="0"/>
            </w:tcBorders>
            <w:vAlign w:val="center"/>
          </w:tcPr>
          <w:p>
            <w:pPr>
              <w:spacing w:line="240" w:lineRule="atLeast"/>
              <w:jc w:val="left"/>
              <w:rPr>
                <w:rFonts w:ascii="仿宋" w:hAnsi="仿宋" w:eastAsia="仿宋"/>
                <w:sz w:val="21"/>
                <w:szCs w:val="21"/>
              </w:rPr>
            </w:pPr>
            <w:r>
              <w:rPr>
                <w:rFonts w:ascii="仿宋" w:hAnsi="仿宋" w:eastAsia="仿宋"/>
                <w:sz w:val="21"/>
                <w:szCs w:val="21"/>
              </w:rPr>
              <w:t>2.</w:t>
            </w:r>
            <w:r>
              <w:rPr>
                <w:rFonts w:hint="eastAsia" w:ascii="仿宋" w:hAnsi="仿宋" w:eastAsia="仿宋"/>
                <w:sz w:val="21"/>
                <w:szCs w:val="21"/>
              </w:rPr>
              <w:t>审查责任（审查岗）：进行材料审查；需要现场核查的，组织现场核查。</w:t>
            </w:r>
          </w:p>
        </w:tc>
        <w:tc>
          <w:tcPr>
            <w:tcW w:w="1055"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lang w:val="en-US" w:eastAsia="zh-CN"/>
              </w:rPr>
              <w:t>20</w:t>
            </w:r>
            <w:r>
              <w:rPr>
                <w:rFonts w:hint="eastAsia" w:ascii="仿宋" w:hAnsi="仿宋" w:eastAsia="仿宋"/>
                <w:sz w:val="21"/>
                <w:szCs w:val="21"/>
              </w:rPr>
              <w:t>日</w:t>
            </w: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6143" w:type="dxa"/>
            <w:tcBorders>
              <w:bottom w:val="single" w:color="auto" w:sz="4" w:space="0"/>
            </w:tcBorders>
            <w:vAlign w:val="center"/>
          </w:tcPr>
          <w:p>
            <w:pPr>
              <w:spacing w:line="240" w:lineRule="atLeast"/>
              <w:jc w:val="left"/>
              <w:rPr>
                <w:rFonts w:ascii="仿宋" w:hAnsi="仿宋" w:eastAsia="仿宋"/>
                <w:sz w:val="21"/>
                <w:szCs w:val="21"/>
              </w:rPr>
            </w:pPr>
            <w:r>
              <w:rPr>
                <w:rFonts w:ascii="仿宋" w:hAnsi="仿宋" w:eastAsia="仿宋"/>
                <w:sz w:val="21"/>
                <w:szCs w:val="21"/>
              </w:rPr>
              <w:t>3.</w:t>
            </w:r>
            <w:r>
              <w:rPr>
                <w:rFonts w:hint="eastAsia" w:ascii="仿宋" w:hAnsi="仿宋" w:eastAsia="仿宋"/>
                <w:sz w:val="21"/>
                <w:szCs w:val="21"/>
              </w:rPr>
              <w:t>决定责任（决定岗）：机关负责人审批后做出决定；对于不予行政许可的，书面告知申请人，并说明理由。</w:t>
            </w:r>
          </w:p>
        </w:tc>
        <w:tc>
          <w:tcPr>
            <w:tcW w:w="1055" w:type="dxa"/>
            <w:vMerge w:val="continue"/>
            <w:vAlign w:val="center"/>
          </w:tcPr>
          <w:p>
            <w:pPr>
              <w:spacing w:line="240" w:lineRule="atLeast"/>
              <w:jc w:val="center"/>
              <w:rPr>
                <w:rFonts w:ascii="仿宋" w:hAnsi="仿宋" w:eastAsia="仿宋"/>
                <w:sz w:val="21"/>
                <w:szCs w:val="21"/>
              </w:rPr>
            </w:pP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6143" w:type="dxa"/>
            <w:tcBorders>
              <w:bottom w:val="single" w:color="auto" w:sz="4" w:space="0"/>
            </w:tcBorders>
            <w:vAlign w:val="center"/>
          </w:tcPr>
          <w:p>
            <w:pPr>
              <w:spacing w:line="240" w:lineRule="atLeast"/>
              <w:jc w:val="left"/>
              <w:rPr>
                <w:rFonts w:ascii="仿宋" w:hAnsi="仿宋" w:eastAsia="仿宋"/>
                <w:sz w:val="21"/>
                <w:szCs w:val="21"/>
              </w:rPr>
            </w:pPr>
            <w:r>
              <w:rPr>
                <w:rFonts w:ascii="仿宋" w:hAnsi="仿宋" w:eastAsia="仿宋"/>
                <w:sz w:val="21"/>
                <w:szCs w:val="21"/>
              </w:rPr>
              <w:t>4.</w:t>
            </w:r>
            <w:r>
              <w:rPr>
                <w:rFonts w:hint="eastAsia" w:ascii="仿宋" w:hAnsi="仿宋" w:eastAsia="仿宋"/>
                <w:sz w:val="21"/>
                <w:szCs w:val="21"/>
              </w:rPr>
              <w:t>送达责任（送达岗）：制作送达文书；将行政许可决定送达当事人。</w:t>
            </w:r>
          </w:p>
        </w:tc>
        <w:tc>
          <w:tcPr>
            <w:tcW w:w="1055" w:type="dxa"/>
            <w:vMerge w:val="continue"/>
            <w:vAlign w:val="center"/>
          </w:tcPr>
          <w:p>
            <w:pPr>
              <w:spacing w:line="240" w:lineRule="atLeast"/>
              <w:jc w:val="center"/>
              <w:rPr>
                <w:rFonts w:ascii="仿宋" w:hAnsi="仿宋" w:eastAsia="仿宋"/>
                <w:sz w:val="21"/>
                <w:szCs w:val="21"/>
              </w:rPr>
            </w:pP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6143" w:type="dxa"/>
            <w:tcBorders>
              <w:bottom w:val="single" w:color="auto" w:sz="4" w:space="0"/>
            </w:tcBorders>
            <w:vAlign w:val="center"/>
          </w:tcPr>
          <w:p>
            <w:pPr>
              <w:spacing w:line="240" w:lineRule="atLeast"/>
              <w:jc w:val="left"/>
              <w:rPr>
                <w:rFonts w:ascii="仿宋" w:hAnsi="仿宋" w:eastAsia="仿宋"/>
                <w:sz w:val="21"/>
                <w:szCs w:val="21"/>
              </w:rPr>
            </w:pPr>
            <w:r>
              <w:rPr>
                <w:rFonts w:ascii="仿宋" w:hAnsi="仿宋" w:eastAsia="仿宋"/>
                <w:sz w:val="21"/>
                <w:szCs w:val="21"/>
              </w:rPr>
              <w:t>5.</w:t>
            </w:r>
            <w:r>
              <w:rPr>
                <w:rFonts w:hint="eastAsia" w:ascii="仿宋" w:hAnsi="仿宋" w:eastAsia="仿宋"/>
                <w:sz w:val="21"/>
                <w:szCs w:val="21"/>
              </w:rPr>
              <w:t>事后监管责任（事后监管岗）：</w:t>
            </w:r>
            <w:r>
              <w:rPr>
                <w:rFonts w:hint="eastAsia" w:ascii="仿宋" w:hAnsi="仿宋" w:eastAsia="仿宋"/>
                <w:sz w:val="21"/>
                <w:szCs w:val="21"/>
                <w:lang w:eastAsia="zh-CN"/>
              </w:rPr>
              <w:t>加</w:t>
            </w:r>
            <w:r>
              <w:rPr>
                <w:rFonts w:hint="eastAsia" w:ascii="仿宋" w:hAnsi="仿宋" w:eastAsia="仿宋"/>
                <w:sz w:val="21"/>
                <w:szCs w:val="21"/>
              </w:rPr>
              <w:t>强对准予从事行政许可事项活动情况监督检查。</w:t>
            </w:r>
          </w:p>
        </w:tc>
        <w:tc>
          <w:tcPr>
            <w:tcW w:w="1055" w:type="dxa"/>
            <w:vAlign w:val="center"/>
          </w:tcPr>
          <w:p>
            <w:pPr>
              <w:spacing w:line="240" w:lineRule="atLeast"/>
              <w:jc w:val="center"/>
              <w:rPr>
                <w:rFonts w:hint="eastAsia" w:ascii="仿宋" w:hAnsi="仿宋" w:eastAsia="仿宋"/>
                <w:sz w:val="21"/>
                <w:szCs w:val="21"/>
                <w:lang w:val="en-US" w:eastAsia="zh-CN"/>
              </w:rPr>
            </w:pP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7" w:hRule="atLeast"/>
          <w:jc w:val="center"/>
        </w:trPr>
        <w:tc>
          <w:tcPr>
            <w:tcW w:w="817" w:type="dxa"/>
            <w:vMerge w:val="continue"/>
            <w:tcBorders>
              <w:bottom w:val="single" w:color="auto" w:sz="4" w:space="0"/>
            </w:tcBorders>
            <w:vAlign w:val="center"/>
          </w:tcPr>
          <w:p>
            <w:pPr>
              <w:spacing w:line="240" w:lineRule="atLeast"/>
              <w:jc w:val="center"/>
              <w:rPr>
                <w:rFonts w:ascii="仿宋" w:hAnsi="仿宋" w:eastAsia="仿宋"/>
                <w:sz w:val="21"/>
                <w:szCs w:val="21"/>
              </w:rPr>
            </w:pPr>
          </w:p>
        </w:tc>
        <w:tc>
          <w:tcPr>
            <w:tcW w:w="1276" w:type="dxa"/>
            <w:vMerge w:val="continue"/>
            <w:tcBorders>
              <w:bottom w:val="single" w:color="auto" w:sz="4" w:space="0"/>
            </w:tcBorders>
            <w:vAlign w:val="center"/>
          </w:tcPr>
          <w:p>
            <w:pPr>
              <w:spacing w:line="240" w:lineRule="atLeast"/>
              <w:jc w:val="center"/>
              <w:rPr>
                <w:rFonts w:ascii="仿宋" w:hAnsi="仿宋" w:eastAsia="仿宋"/>
                <w:sz w:val="21"/>
                <w:szCs w:val="21"/>
              </w:rPr>
            </w:pPr>
          </w:p>
        </w:tc>
        <w:tc>
          <w:tcPr>
            <w:tcW w:w="1843" w:type="dxa"/>
            <w:vMerge w:val="continue"/>
            <w:tcBorders>
              <w:bottom w:val="single" w:color="auto" w:sz="4" w:space="0"/>
            </w:tcBorders>
            <w:vAlign w:val="center"/>
          </w:tcPr>
          <w:p>
            <w:pPr>
              <w:spacing w:line="240" w:lineRule="atLeast"/>
              <w:jc w:val="center"/>
              <w:rPr>
                <w:rFonts w:ascii="Arial" w:hAnsi="Arial" w:cs="Arial"/>
                <w:color w:val="333333"/>
                <w:sz w:val="21"/>
                <w:szCs w:val="21"/>
                <w:shd w:val="clear" w:color="auto" w:fill="FFFFFF"/>
              </w:rPr>
            </w:pPr>
          </w:p>
        </w:tc>
        <w:tc>
          <w:tcPr>
            <w:tcW w:w="6143" w:type="dxa"/>
            <w:tcBorders>
              <w:bottom w:val="single" w:color="auto" w:sz="4" w:space="0"/>
            </w:tcBorders>
            <w:vAlign w:val="center"/>
          </w:tcPr>
          <w:p>
            <w:pPr>
              <w:spacing w:line="240" w:lineRule="atLeast"/>
              <w:jc w:val="left"/>
              <w:rPr>
                <w:rFonts w:ascii="仿宋" w:hAnsi="仿宋" w:eastAsia="仿宋"/>
                <w:sz w:val="21"/>
                <w:szCs w:val="21"/>
              </w:rPr>
            </w:pPr>
            <w:r>
              <w:rPr>
                <w:rFonts w:ascii="仿宋" w:hAnsi="仿宋" w:eastAsia="仿宋"/>
                <w:sz w:val="21"/>
                <w:szCs w:val="21"/>
              </w:rPr>
              <w:t>6.</w:t>
            </w:r>
            <w:r>
              <w:rPr>
                <w:rFonts w:hint="eastAsia" w:ascii="仿宋" w:hAnsi="仿宋" w:eastAsia="仿宋"/>
                <w:sz w:val="21"/>
                <w:szCs w:val="21"/>
              </w:rPr>
              <w:t>法律法规规章规定的其他应履行的责任事项。</w:t>
            </w:r>
          </w:p>
        </w:tc>
        <w:tc>
          <w:tcPr>
            <w:tcW w:w="1055" w:type="dxa"/>
            <w:tcBorders>
              <w:bottom w:val="single" w:color="auto" w:sz="4" w:space="0"/>
            </w:tcBorders>
            <w:vAlign w:val="center"/>
          </w:tcPr>
          <w:p>
            <w:pPr>
              <w:spacing w:line="240" w:lineRule="atLeast"/>
              <w:jc w:val="left"/>
              <w:rPr>
                <w:rFonts w:ascii="仿宋" w:hAnsi="仿宋" w:eastAsia="仿宋"/>
                <w:sz w:val="21"/>
                <w:szCs w:val="21"/>
              </w:rPr>
            </w:pPr>
          </w:p>
        </w:tc>
        <w:tc>
          <w:tcPr>
            <w:tcW w:w="795" w:type="dxa"/>
            <w:vMerge w:val="continue"/>
            <w:tcBorders>
              <w:bottom w:val="single" w:color="auto" w:sz="4" w:space="0"/>
            </w:tcBorders>
            <w:vAlign w:val="center"/>
          </w:tcPr>
          <w:p>
            <w:pPr>
              <w:spacing w:line="240" w:lineRule="atLeast"/>
              <w:jc w:val="left"/>
              <w:rPr>
                <w:rFonts w:ascii="仿宋" w:hAnsi="仿宋" w:eastAsia="仿宋"/>
                <w:sz w:val="21"/>
                <w:szCs w:val="21"/>
              </w:rPr>
            </w:pPr>
          </w:p>
        </w:tc>
        <w:tc>
          <w:tcPr>
            <w:tcW w:w="2638" w:type="dxa"/>
            <w:vMerge w:val="continue"/>
            <w:tcBorders>
              <w:bottom w:val="single" w:color="auto" w:sz="4" w:space="0"/>
            </w:tcBorders>
            <w:vAlign w:val="center"/>
          </w:tcPr>
          <w:p>
            <w:pPr>
              <w:spacing w:line="240" w:lineRule="atLeast"/>
              <w:ind w:firstLine="420" w:firstLineChars="200"/>
              <w:jc w:val="left"/>
              <w:rPr>
                <w:rFonts w:ascii="仿宋" w:hAnsi="仿宋" w:eastAsia="仿宋"/>
                <w:sz w:val="21"/>
                <w:szCs w:val="21"/>
              </w:rPr>
            </w:pPr>
          </w:p>
        </w:tc>
      </w:tr>
    </w:tbl>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濮阳市华龙区应急管理局</w:t>
      </w:r>
      <w:r>
        <w:rPr>
          <w:rFonts w:hint="eastAsia" w:ascii="方正小标宋简体" w:hAnsi="方正小标宋简体" w:eastAsia="方正小标宋简体" w:cs="方正小标宋简体"/>
          <w:sz w:val="44"/>
          <w:szCs w:val="44"/>
        </w:rPr>
        <w:t>行政执法权责清单、岗责体系</w:t>
      </w:r>
    </w:p>
    <w:p>
      <w:pPr>
        <w:jc w:val="center"/>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w:t>
            </w:r>
          </w:p>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类别</w:t>
            </w:r>
          </w:p>
        </w:tc>
        <w:tc>
          <w:tcPr>
            <w:tcW w:w="1276" w:type="dxa"/>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职权名称</w:t>
            </w:r>
          </w:p>
        </w:tc>
        <w:tc>
          <w:tcPr>
            <w:tcW w:w="1843" w:type="dxa"/>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实施依据</w:t>
            </w:r>
          </w:p>
        </w:tc>
        <w:tc>
          <w:tcPr>
            <w:tcW w:w="7738" w:type="dxa"/>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w:t>
            </w:r>
            <w:r>
              <w:rPr>
                <w:rFonts w:hint="eastAsia" w:ascii="仿宋_GB2312" w:hAnsi="仿宋_GB2312" w:eastAsia="仿宋_GB2312" w:cs="仿宋_GB2312"/>
                <w:color w:val="auto"/>
                <w:sz w:val="21"/>
                <w:szCs w:val="21"/>
                <w:shd w:val="clear" w:color="auto" w:fill="FFFFFF"/>
              </w:rPr>
              <w:t>承担安全评价、认证、检测、检验工作的机构，出具虚假证明</w:t>
            </w:r>
            <w:r>
              <w:rPr>
                <w:rFonts w:hint="eastAsia" w:ascii="仿宋_GB2312" w:hAnsi="仿宋_GB2312" w:eastAsia="仿宋_GB2312" w:cs="仿宋_GB2312"/>
                <w:color w:val="auto"/>
                <w:sz w:val="21"/>
                <w:szCs w:val="21"/>
              </w:rPr>
              <w:t>的行政处罚</w:t>
            </w:r>
          </w:p>
        </w:tc>
        <w:tc>
          <w:tcPr>
            <w:tcW w:w="1843"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shd w:val="clear" w:color="auto" w:fill="FFFFFF"/>
              </w:rPr>
              <w:t>《中华人民共和国安全生产法》第八十九条；</w:t>
            </w:r>
            <w:r>
              <w:rPr>
                <w:rFonts w:hint="eastAsia" w:ascii="仿宋_GB2312" w:hAnsi="仿宋_GB2312" w:eastAsia="仿宋_GB2312" w:cs="仿宋_GB2312"/>
                <w:color w:val="auto"/>
                <w:sz w:val="21"/>
                <w:szCs w:val="21"/>
              </w:rPr>
              <w:t>《安全评价检测检验机构管理办法》第三十一条</w:t>
            </w: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5"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职权</w:t>
            </w:r>
          </w:p>
          <w:p>
            <w:pPr>
              <w:spacing w:line="240" w:lineRule="atLeast"/>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w:t>
            </w:r>
            <w:r>
              <w:rPr>
                <w:rFonts w:hint="eastAsia" w:ascii="仿宋_GB2312" w:hAnsi="仿宋_GB2312" w:eastAsia="仿宋_GB2312" w:cs="仿宋_GB2312"/>
                <w:color w:val="auto"/>
                <w:sz w:val="21"/>
                <w:szCs w:val="21"/>
                <w:shd w:val="clear" w:color="auto" w:fill="FFFFFF"/>
              </w:rPr>
              <w:t>生产经营单位的决策机构、主要负责人或者个人经营的投资人不依照本法规定保证安全生产所必需的资金投入，致使生产经营单位不具备安全生产条件的</w:t>
            </w:r>
            <w:r>
              <w:rPr>
                <w:rFonts w:hint="eastAsia" w:ascii="仿宋_GB2312" w:hAnsi="仿宋_GB2312" w:eastAsia="仿宋_GB2312" w:cs="仿宋_GB2312"/>
                <w:color w:val="auto"/>
                <w:sz w:val="21"/>
                <w:szCs w:val="21"/>
              </w:rPr>
              <w:t>的行政处罚</w:t>
            </w:r>
          </w:p>
        </w:tc>
        <w:tc>
          <w:tcPr>
            <w:tcW w:w="1843"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shd w:val="clear" w:color="auto" w:fill="FFFFFF"/>
              </w:rPr>
              <w:t>《中华人民共和国安全生产法》第九十条</w:t>
            </w: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生产经营单位的主要负责人未履行本法规定的安全生产管理职责的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《中华人民共和国安全生产法》第九十一条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4"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生产经营单位的主要负责人未履行本法规定的安全生产管理职责，导致发生生产安全事故的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《中华人民共和国安全生产法》第九十二条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w:t>
            </w:r>
            <w:r>
              <w:rPr>
                <w:rFonts w:hint="eastAsia" w:ascii="仿宋_GB2312" w:hAnsi="仿宋_GB2312" w:eastAsia="仿宋_GB2312" w:cs="仿宋_GB2312"/>
                <w:color w:val="auto"/>
                <w:sz w:val="21"/>
                <w:szCs w:val="21"/>
                <w:shd w:val="clear" w:color="auto" w:fill="FFFFFF"/>
              </w:rPr>
              <w:t>生产经营单位的安全生产管理人员未履行本法规定的安全生产管理职责的</w:t>
            </w:r>
            <w:r>
              <w:rPr>
                <w:rFonts w:hint="eastAsia" w:ascii="仿宋_GB2312" w:hAnsi="仿宋_GB2312" w:eastAsia="仿宋_GB2312" w:cs="仿宋_GB2312"/>
                <w:color w:val="auto"/>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《中华人民共和国安全生产法》第九十三条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对生产经营单位</w:t>
            </w:r>
            <w:r>
              <w:rPr>
                <w:rFonts w:hint="eastAsia" w:ascii="仿宋_GB2312" w:hAnsi="仿宋_GB2312" w:eastAsia="仿宋_GB2312" w:cs="仿宋_GB2312"/>
                <w:color w:val="auto"/>
                <w:sz w:val="21"/>
                <w:szCs w:val="21"/>
                <w:shd w:val="clear" w:color="auto" w:fill="FFFFFF"/>
              </w:rPr>
              <w:t>未按照规定设置安全生产管理机构或者配备安全生产管理人员</w:t>
            </w:r>
            <w:r>
              <w:rPr>
                <w:rFonts w:hint="eastAsia" w:ascii="仿宋_GB2312" w:hAnsi="仿宋_GB2312" w:eastAsia="仿宋_GB2312" w:cs="仿宋_GB2312"/>
                <w:color w:val="auto"/>
                <w:sz w:val="21"/>
                <w:szCs w:val="21"/>
              </w:rPr>
              <w:t>的行政处罚</w:t>
            </w:r>
          </w:p>
        </w:tc>
        <w:tc>
          <w:tcPr>
            <w:tcW w:w="1843" w:type="dxa"/>
            <w:vMerge w:val="restart"/>
            <w:vAlign w:val="center"/>
          </w:tcPr>
          <w:p>
            <w:pPr>
              <w:spacing w:line="240" w:lineRule="atLeast"/>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shd w:val="clear" w:color="auto" w:fill="FFFFFF"/>
              </w:rPr>
              <w:t>《中华人民共和国安全生产法》第九十四条</w:t>
            </w: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color w:val="auto"/>
                <w:sz w:val="21"/>
                <w:szCs w:val="21"/>
              </w:rPr>
            </w:pPr>
          </w:p>
        </w:tc>
        <w:tc>
          <w:tcPr>
            <w:tcW w:w="7738" w:type="dxa"/>
            <w:vAlign w:val="center"/>
          </w:tcPr>
          <w:p>
            <w:pPr>
              <w:spacing w:line="240" w:lineRule="atLeast"/>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对生产经营单位</w:t>
            </w:r>
            <w:r>
              <w:rPr>
                <w:rFonts w:hint="eastAsia" w:ascii="仿宋_GB2312" w:hAnsi="仿宋_GB2312" w:eastAsia="仿宋_GB2312" w:cs="仿宋_GB2312"/>
                <w:color w:val="333333"/>
                <w:sz w:val="21"/>
                <w:szCs w:val="21"/>
                <w:shd w:val="clear" w:color="auto" w:fill="FFFFFF"/>
              </w:rPr>
              <w:t>危险物品的生产、经营、储存单位以及矿山、金属冶炼、建筑施工、道路运输单位的主要负责人和安全生产管理人员未按照规定经考核合格的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《中华人民共和国安全生产法》第九十四条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对生产经营单位</w:t>
            </w:r>
            <w:r>
              <w:rPr>
                <w:rFonts w:hint="eastAsia" w:ascii="仿宋_GB2312" w:hAnsi="仿宋_GB2312" w:eastAsia="仿宋_GB2312" w:cs="仿宋_GB2312"/>
                <w:color w:val="333333"/>
                <w:sz w:val="21"/>
                <w:szCs w:val="21"/>
                <w:shd w:val="clear" w:color="auto" w:fill="FFFFFF"/>
              </w:rPr>
              <w:t>未按照规定对从业人员、被派遣劳动者、实习学生进行安全生产教育和培训，或者未按照规定如实告知有关的安全生产事项的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《中华人民共和国安全生产法》第九十四条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对生产经营单位</w:t>
            </w:r>
            <w:r>
              <w:rPr>
                <w:rFonts w:hint="eastAsia" w:ascii="仿宋_GB2312" w:hAnsi="仿宋_GB2312" w:eastAsia="仿宋_GB2312" w:cs="仿宋_GB2312"/>
                <w:color w:val="333333"/>
                <w:sz w:val="21"/>
                <w:szCs w:val="21"/>
                <w:shd w:val="clear" w:color="auto" w:fill="FFFFFF"/>
              </w:rPr>
              <w:t>未如实记录安全生产教育和培训情况的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《中华人民共和国安全生产法》第九十四条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84"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对生产经营单位</w:t>
            </w:r>
            <w:r>
              <w:rPr>
                <w:rFonts w:hint="eastAsia" w:ascii="仿宋_GB2312" w:hAnsi="仿宋_GB2312" w:eastAsia="仿宋_GB2312" w:cs="仿宋_GB2312"/>
                <w:color w:val="333333"/>
                <w:sz w:val="21"/>
                <w:szCs w:val="21"/>
                <w:shd w:val="clear" w:color="auto" w:fill="FFFFFF"/>
              </w:rPr>
              <w:t>未将事故隐患排查治理情况如实记录或者未向从业人员通报的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《中华人民共和国安全生产法》第九十四条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1"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对生产经营单位</w:t>
            </w:r>
            <w:r>
              <w:rPr>
                <w:rFonts w:hint="eastAsia" w:ascii="仿宋_GB2312" w:hAnsi="仿宋_GB2312" w:eastAsia="仿宋_GB2312" w:cs="仿宋_GB2312"/>
                <w:color w:val="333333"/>
                <w:sz w:val="21"/>
                <w:szCs w:val="21"/>
                <w:shd w:val="clear" w:color="auto" w:fill="FFFFFF"/>
              </w:rPr>
              <w:t>未按照规定制定生产安全事故应急救援预案或者未定期组织演练的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《中华人民共和国安全生产法》第九十四条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7"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对生产经营单位</w:t>
            </w:r>
            <w:r>
              <w:rPr>
                <w:rFonts w:hint="eastAsia" w:ascii="仿宋_GB2312" w:hAnsi="仿宋_GB2312" w:eastAsia="仿宋_GB2312" w:cs="仿宋_GB2312"/>
                <w:color w:val="333333"/>
                <w:sz w:val="21"/>
                <w:szCs w:val="21"/>
                <w:shd w:val="clear" w:color="auto" w:fill="FFFFFF"/>
              </w:rPr>
              <w:t>特种作业人员未按照规定经专门的安全作业培训并取得相应资格，上岗作业的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《中华人民共和国安全生产法》第九十四条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4"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生产经营单位未按照规定对矿山、金属冶炼建设项目或者用于生产、储存、装卸危险物品的建设项目进行安全评价的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《中华人民共和国安全生产法》第九十五条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生产经营单位矿山、金属冶炼建设项目或者用于生产、储存、装卸危险物品的建设项目没有安全设施设计或者安全设施设计未按照规定报经有关部门审查同意的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《中华人民共和国安全生产法》第九十五条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生产经营单位矿山、金属冶炼建设项目或者用于生产、储存、装卸危险物品的建设项目的施工单位未按照批准的安全设施设计施工的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《中华人民共和国安全生产法》第九十五条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生产经营单位矿山、金属冶炼建设项目或者用于生产、储存危险物品的建设项目竣工投入生产或者使用前，安全设施未经验收合格的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《中华人民共和国安全生产法》第九十五条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2"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生产经营单位未在有较大危险因素的生产经营场所和有关设施、设备上设置明显的安全警示标志的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《中华人民共和国安全生产法》第九十六条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5"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生产经营单位安全设备的安装、使用、检测、改造和报废不符合国家标准或者行业标准的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《中华人民共和国安全生产法》第九十六条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生产经营单位未对安全设备进行经常性维护、保养和定期检测的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《中华人民共和国安全生产法》第九十六条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生产经营单位未为从业人员提供符合国家标准或者行业标准的劳动防护用品的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《中华人民共和国安全生产法》第九十六条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615"/>
        <w:gridCol w:w="1504"/>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615"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504"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615"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生产经营单位危险物品的容器、运输工具，以及涉及人身安全、危险性较大的海洋石油开采特种设备和矿山井下特种设备未经具有专业资质的机构检测、检验合格，取得安全使用证或者安全标志，投入使用的</w:t>
            </w:r>
            <w:r>
              <w:rPr>
                <w:rFonts w:hint="eastAsia" w:ascii="仿宋_GB2312" w:hAnsi="仿宋_GB2312" w:eastAsia="仿宋_GB2312" w:cs="仿宋_GB2312"/>
                <w:sz w:val="21"/>
                <w:szCs w:val="21"/>
              </w:rPr>
              <w:t>行政处罚</w:t>
            </w:r>
          </w:p>
        </w:tc>
        <w:tc>
          <w:tcPr>
            <w:tcW w:w="1504"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《中华人民共和国安全生产法》第九十六条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615"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04"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615"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04"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615"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04"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615"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04"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615"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04"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615"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04"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615"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04"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p>
          <w:p>
            <w:pPr>
              <w:spacing w:line="240" w:lineRule="atLeast"/>
              <w:jc w:val="center"/>
              <w:rPr>
                <w:rFonts w:hint="eastAsia" w:ascii="仿宋_GB2312" w:hAnsi="仿宋_GB2312" w:eastAsia="仿宋_GB2312" w:cs="仿宋_GB2312"/>
                <w:b/>
                <w:bCs/>
                <w:sz w:val="21"/>
                <w:szCs w:val="21"/>
              </w:rPr>
            </w:pPr>
          </w:p>
          <w:p>
            <w:pPr>
              <w:spacing w:line="240" w:lineRule="atLeast"/>
              <w:jc w:val="center"/>
              <w:rPr>
                <w:rFonts w:hint="eastAsia" w:ascii="仿宋_GB2312" w:hAnsi="仿宋_GB2312" w:eastAsia="仿宋_GB2312" w:cs="仿宋_GB2312"/>
                <w:b/>
                <w:bCs/>
                <w:sz w:val="21"/>
                <w:szCs w:val="21"/>
              </w:rPr>
            </w:pP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生产经营单位使用应当淘汰的危及生产安全的工艺、设备的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《中华人民共和国安全生产法》第九十六条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未经依法批准，擅自生产、经营、运输、储存、使用危险物品或者处置废弃危险物品的的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《中华人民共和国安全生产法》第九十七条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生产经营单位生产、经营、运输、储存、使用危险物品或者处置废弃危险物品，未建立专门安全管理制度、未采取可靠的安全措施的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《中华人民共和国安全生产法》第九十八条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生产经营单位对重大危险源未登记建档，或者未进行评估、监控，或者未制定应急预案的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《中华人民共和国安全生产法》第九十八条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生产经营单位进行爆破、吊装以及国务院安全生产监督管理部门会同国务院有关部门规定的其他危险作业，未安排专门人员进行现场安全管理的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《中华人民共和国安全生产法》第九十八条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生产经营单位未建立事故隐患排查治理制度的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《中华人民共和国安全生产法》第九十八条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生产经营单位未采取措施消除事故隐患的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《中华人民共和国安全生产法》第九十九条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生产经营单位将生产经营项目、场所、设备发包或者出租给不具备安全生产条件或者相应资质的单位或者个人的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28"/>
        <w:gridCol w:w="1591"/>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52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591"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528"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生产经营单位未与承包单位、承租单位签订专门的安全生产管理协议或者未在承包合同、租赁合同中明确各自的安全生产管理职责，或者未对承包单位、承租单位的安全生产统一协调、管理的</w:t>
            </w:r>
            <w:r>
              <w:rPr>
                <w:rFonts w:hint="eastAsia" w:ascii="仿宋_GB2312" w:hAnsi="仿宋_GB2312" w:eastAsia="仿宋_GB2312" w:cs="仿宋_GB2312"/>
                <w:sz w:val="21"/>
                <w:szCs w:val="21"/>
              </w:rPr>
              <w:t>行政处罚</w:t>
            </w:r>
          </w:p>
        </w:tc>
        <w:tc>
          <w:tcPr>
            <w:tcW w:w="1591"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28"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91"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28"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91"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28"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91"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28"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91"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28"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91"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28"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91"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28"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591"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两个以上生产经营单位在同一作业区域内进行可能危及对方安全生产的生产经营活动，未签订安全生产管理协议或者未指定专职安全生产管理人员进行安全检查与协调的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《中华人民共和国安全生产法》第一百零一条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生产经营单位生产、经营、储存、使用危险物品的车间、商店、仓库与员工宿舍在同一座建筑内，或者与员工宿舍的距离不符合安全要求的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《中华人民共和国安全生产法》第一百零二条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lang w:eastAsia="zh-CN"/>
        </w:rPr>
      </w:pPr>
    </w:p>
    <w:p>
      <w:pPr>
        <w:jc w:val="center"/>
        <w:rPr>
          <w:rFonts w:hint="eastAsia" w:ascii="仿宋_GB2312" w:hAnsi="仿宋_GB2312" w:eastAsia="仿宋_GB2312" w:cs="仿宋_GB2312"/>
          <w:sz w:val="21"/>
          <w:szCs w:val="21"/>
          <w:lang w:eastAsia="zh-CN"/>
        </w:rPr>
      </w:pPr>
    </w:p>
    <w:p>
      <w:pPr>
        <w:jc w:val="center"/>
        <w:rPr>
          <w:rFonts w:hint="eastAsia" w:ascii="仿宋_GB2312" w:hAnsi="仿宋_GB2312" w:eastAsia="仿宋_GB2312" w:cs="仿宋_GB2312"/>
          <w:sz w:val="21"/>
          <w:szCs w:val="21"/>
          <w:lang w:eastAsia="zh-CN"/>
        </w:rPr>
      </w:pPr>
    </w:p>
    <w:p>
      <w:pPr>
        <w:jc w:val="center"/>
        <w:rPr>
          <w:rFonts w:hint="eastAsia" w:ascii="仿宋_GB2312" w:hAnsi="仿宋_GB2312" w:eastAsia="仿宋_GB2312" w:cs="仿宋_GB2312"/>
          <w:sz w:val="21"/>
          <w:szCs w:val="21"/>
          <w:lang w:eastAsia="zh-CN"/>
        </w:rPr>
      </w:pPr>
    </w:p>
    <w:p>
      <w:pPr>
        <w:jc w:val="center"/>
        <w:rPr>
          <w:rFonts w:hint="eastAsia" w:ascii="仿宋_GB2312" w:hAnsi="仿宋_GB2312" w:eastAsia="仿宋_GB2312" w:cs="仿宋_GB2312"/>
          <w:sz w:val="21"/>
          <w:szCs w:val="21"/>
          <w:lang w:eastAsia="zh-CN"/>
        </w:rPr>
      </w:pPr>
    </w:p>
    <w:p>
      <w:pPr>
        <w:jc w:val="center"/>
        <w:rPr>
          <w:rFonts w:hint="eastAsia" w:ascii="仿宋_GB2312" w:hAnsi="仿宋_GB2312" w:eastAsia="仿宋_GB2312" w:cs="仿宋_GB2312"/>
          <w:sz w:val="21"/>
          <w:szCs w:val="21"/>
          <w:lang w:eastAsia="zh-CN"/>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生产经营单位生产经营场所和员工宿舍未设有符合紧急疏散需要、标志明显、保持畅通的出口，或者锁闭、封堵生产经营场所或者员工宿舍出口的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《中华人民共和国安全生产法》第一百零二条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生产经营单位与从业人员订立协议，免除或者减轻其对从业人员因生产安全事故伤亡依法应承担的责任的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《中华人民共和国安全生产法》第一百零三条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生产经营单位的从业人员不服从管理，违反安全生产规章制度或者操作规程的责任的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《中华人民共和国安全生产法》第一百零四条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违反本法规定，生产经营单位拒绝、阻碍负有安全生产监督管理职责的部门依法实施监督检查的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《中华人民共和国安全生产法》第一百零五条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生产经营单位的主要负责人在本单位发生生产安全事故时，不立即组织抢救或者在事故调查处理期间擅离职守或者逃匿的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《中华人民共和国安全生产法》第一百零六条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p>
      <w:pPr>
        <w:jc w:val="center"/>
        <w:rPr>
          <w:rFonts w:hint="eastAsia" w:ascii="仿宋_GB2312" w:hAnsi="仿宋_GB2312" w:eastAsia="仿宋_GB2312" w:cs="仿宋_GB2312"/>
          <w:sz w:val="21"/>
          <w:szCs w:val="21"/>
        </w:rPr>
      </w:pP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行政处罚类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w:t>
            </w:r>
            <w:r>
              <w:rPr>
                <w:rFonts w:hint="eastAsia" w:ascii="仿宋_GB2312" w:hAnsi="仿宋_GB2312" w:eastAsia="仿宋_GB2312" w:cs="仿宋_GB2312"/>
                <w:color w:val="333333"/>
                <w:sz w:val="21"/>
                <w:szCs w:val="21"/>
                <w:shd w:val="clear" w:color="auto" w:fill="FFFFFF"/>
              </w:rPr>
              <w:t>生产经营单位的主要负责人对生产安全事故隐瞒不报、谎报或者迟报的</w:t>
            </w:r>
            <w:r>
              <w:rPr>
                <w:rFonts w:hint="eastAsia" w:ascii="仿宋_GB2312" w:hAnsi="仿宋_GB2312" w:eastAsia="仿宋_GB2312" w:cs="仿宋_GB2312"/>
                <w:sz w:val="21"/>
                <w:szCs w:val="21"/>
              </w:rPr>
              <w:t>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《中华人民共和国安全生产法》第一百零六条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21"/>
          <w:szCs w:val="21"/>
        </w:rPr>
      </w:pPr>
      <w:r>
        <w:rPr>
          <w:rFonts w:hint="eastAsia" w:ascii="方正小标宋简体" w:hAnsi="方正小标宋简体" w:eastAsia="方正小标宋简体" w:cs="方正小标宋简体"/>
          <w:sz w:val="44"/>
          <w:szCs w:val="44"/>
          <w:lang w:eastAsia="zh-CN"/>
        </w:rPr>
        <w:t>濮阳市华龙区应急管理局</w:t>
      </w:r>
      <w:r>
        <w:rPr>
          <w:rFonts w:hint="eastAsia" w:ascii="方正小标宋简体" w:hAnsi="方正小标宋简体" w:eastAsia="方正小标宋简体" w:cs="方正小标宋简体"/>
          <w:sz w:val="44"/>
          <w:szCs w:val="44"/>
        </w:rPr>
        <w:t>行政执法权责清单、岗责体系</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w:t>
            </w:r>
          </w:p>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类别</w:t>
            </w:r>
          </w:p>
        </w:tc>
        <w:tc>
          <w:tcPr>
            <w:tcW w:w="1276"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职权名称</w:t>
            </w:r>
          </w:p>
        </w:tc>
        <w:tc>
          <w:tcPr>
            <w:tcW w:w="184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实施依据</w:t>
            </w:r>
          </w:p>
        </w:tc>
        <w:tc>
          <w:tcPr>
            <w:tcW w:w="7738"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_GB2312" w:hAnsi="仿宋_GB2312" w:eastAsia="仿宋_GB2312" w:cs="仿宋_GB2312"/>
                <w:color w:val="333333"/>
                <w:sz w:val="21"/>
                <w:szCs w:val="21"/>
                <w:shd w:val="clear" w:color="auto" w:fill="FFFFFF"/>
              </w:rPr>
            </w:pPr>
            <w:r>
              <w:rPr>
                <w:rFonts w:hint="eastAsia" w:ascii="仿宋_GB2312" w:hAnsi="仿宋_GB2312" w:eastAsia="仿宋_GB2312" w:cs="仿宋_GB2312"/>
                <w:color w:val="333333"/>
                <w:sz w:val="21"/>
                <w:szCs w:val="21"/>
                <w:shd w:val="clear" w:color="auto" w:fill="FFFFFF"/>
              </w:rPr>
              <w:t>行政处罚类</w:t>
            </w:r>
          </w:p>
        </w:tc>
        <w:tc>
          <w:tcPr>
            <w:tcW w:w="1276" w:type="dxa"/>
            <w:vMerge w:val="restart"/>
            <w:vAlign w:val="center"/>
          </w:tcPr>
          <w:p>
            <w:pPr>
              <w:spacing w:line="240" w:lineRule="atLeast"/>
              <w:jc w:val="center"/>
              <w:rPr>
                <w:rFonts w:hint="eastAsia" w:ascii="仿宋_GB2312" w:hAnsi="仿宋_GB2312" w:eastAsia="仿宋_GB2312" w:cs="仿宋_GB2312"/>
                <w:color w:val="333333"/>
                <w:sz w:val="21"/>
                <w:szCs w:val="21"/>
                <w:shd w:val="clear" w:color="auto" w:fill="FFFFFF"/>
              </w:rPr>
            </w:pPr>
            <w:r>
              <w:rPr>
                <w:rFonts w:hint="eastAsia" w:ascii="仿宋_GB2312" w:hAnsi="仿宋_GB2312" w:eastAsia="仿宋_GB2312" w:cs="仿宋_GB2312"/>
                <w:color w:val="333333"/>
                <w:sz w:val="21"/>
                <w:szCs w:val="21"/>
                <w:shd w:val="clear" w:color="auto" w:fill="FFFFFF"/>
              </w:rPr>
              <w:t>对生产经营单位不具备本法和其他有关法律、行政法规和国家标准或者行业标准规定的安全生产条件，经停产停业整顿仍不具备安全生产条件的行政处罚</w:t>
            </w:r>
          </w:p>
        </w:tc>
        <w:tc>
          <w:tcPr>
            <w:tcW w:w="1843"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color w:val="333333"/>
                <w:sz w:val="21"/>
                <w:szCs w:val="21"/>
                <w:shd w:val="clear" w:color="auto" w:fill="FFFFFF"/>
              </w:rPr>
              <w:t>《中华人民共和国安全生产法》第一百零八条</w:t>
            </w: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6、送达责任（送达岗）：7日内，依法将行政处罚决定书送达当事人。</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276" w:type="dxa"/>
            <w:vMerge w:val="continue"/>
            <w:vAlign w:val="center"/>
          </w:tcPr>
          <w:p>
            <w:pPr>
              <w:spacing w:line="240" w:lineRule="atLeast"/>
              <w:jc w:val="center"/>
              <w:rPr>
                <w:rFonts w:hint="eastAsia" w:ascii="仿宋_GB2312" w:hAnsi="仿宋_GB2312" w:eastAsia="仿宋_GB2312" w:cs="仿宋_GB2312"/>
                <w:sz w:val="21"/>
                <w:szCs w:val="21"/>
              </w:rPr>
            </w:pPr>
          </w:p>
        </w:tc>
        <w:tc>
          <w:tcPr>
            <w:tcW w:w="1843" w:type="dxa"/>
            <w:vMerge w:val="continue"/>
            <w:vAlign w:val="center"/>
          </w:tcPr>
          <w:p>
            <w:pPr>
              <w:spacing w:line="240" w:lineRule="atLeast"/>
              <w:jc w:val="center"/>
              <w:rPr>
                <w:rFonts w:hint="eastAsia" w:ascii="仿宋_GB2312" w:hAnsi="仿宋_GB2312" w:eastAsia="仿宋_GB2312" w:cs="仿宋_GB2312"/>
                <w:sz w:val="21"/>
                <w:szCs w:val="21"/>
              </w:rPr>
            </w:pPr>
          </w:p>
        </w:tc>
        <w:tc>
          <w:tcPr>
            <w:tcW w:w="7738" w:type="dxa"/>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8、法律、法规、规章规定的其他应履行的责任事项。</w:t>
            </w:r>
          </w:p>
        </w:tc>
        <w:tc>
          <w:tcPr>
            <w:tcW w:w="2893" w:type="dxa"/>
            <w:vMerge w:val="continue"/>
            <w:vAlign w:val="center"/>
          </w:tcPr>
          <w:p>
            <w:pPr>
              <w:spacing w:line="240" w:lineRule="atLeast"/>
              <w:jc w:val="center"/>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rPr>
      </w:pPr>
    </w:p>
    <w:p>
      <w:pPr>
        <w:jc w:val="center"/>
        <w:rPr>
          <w:rFonts w:hint="default" w:ascii="Times New Roman" w:hAnsi="Times New Roman" w:cs="Times New Roman"/>
          <w:sz w:val="21"/>
          <w:szCs w:val="21"/>
          <w:lang w:eastAsia="zh-CN"/>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sz w:val="21"/>
                <w:szCs w:val="21"/>
                <w:shd w:val="clear" w:color="auto" w:fill="FFFFFF"/>
              </w:rPr>
              <w:t>生产经营单位发生一般生产安全事故的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color w:val="333333"/>
                <w:sz w:val="21"/>
                <w:szCs w:val="21"/>
                <w:shd w:val="clear" w:color="auto" w:fill="FFFFFF"/>
              </w:rPr>
              <w:t>《中华人民共和国安全生产法》第一百零九条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sz w:val="21"/>
                <w:szCs w:val="21"/>
                <w:shd w:val="clear" w:color="auto" w:fill="FFFFFF"/>
              </w:rPr>
              <w:t>生产经营单位发生较大生产安全事故的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color w:val="333333"/>
                <w:sz w:val="21"/>
                <w:szCs w:val="21"/>
                <w:shd w:val="clear" w:color="auto" w:fill="FFFFFF"/>
              </w:rPr>
              <w:t>《中华人民共和国安全生产法》第一百零九条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sz w:val="21"/>
                <w:szCs w:val="21"/>
                <w:shd w:val="clear" w:color="auto" w:fill="FFFFFF"/>
              </w:rPr>
              <w:t>生产经营单位发生重大生产安全事故的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color w:val="333333"/>
                <w:sz w:val="21"/>
                <w:szCs w:val="21"/>
                <w:shd w:val="clear" w:color="auto" w:fill="FFFFFF"/>
              </w:rPr>
              <w:t>《中华人民共和国安全生产法》第一百零九条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Times New Roman" w:hAnsi="Times New Roman" w:cs="Times New Roman"/>
          <w:sz w:val="21"/>
          <w:szCs w:val="21"/>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sz w:val="21"/>
                <w:szCs w:val="21"/>
                <w:shd w:val="clear" w:color="auto" w:fill="FFFFFF"/>
              </w:rPr>
              <w:t>生产经营单位发生特别重大生产安全事故的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color w:val="333333"/>
                <w:sz w:val="21"/>
                <w:szCs w:val="21"/>
                <w:shd w:val="clear" w:color="auto" w:fill="FFFFFF"/>
              </w:rPr>
              <w:t>《中华人民共和国安全生产法》第一百零九条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对生产经营单位未按照规定设置安全生产管理机构或者配备安全生产管理人员的行政处罚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Times New Roman" w:hAnsi="Times New Roman" w:cs="Times New Roman"/>
          <w:sz w:val="21"/>
          <w:szCs w:val="21"/>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73"/>
        <w:gridCol w:w="1646"/>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47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64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47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矿山、金属冶炼、建筑施工、道路运输单位和危险物品的生产、经营、储存、废弃处置以及使用危险物品的数量构成重大危险源的单位的主要负责人或者安全生产管理人员未按照有关规定经考核合格的</w:t>
            </w:r>
            <w:r>
              <w:rPr>
                <w:rFonts w:hint="default" w:ascii="Times New Roman" w:hAnsi="Times New Roman" w:eastAsia="仿宋" w:cs="Times New Roman"/>
                <w:sz w:val="21"/>
                <w:szCs w:val="21"/>
              </w:rPr>
              <w:t>行政处罚</w:t>
            </w:r>
          </w:p>
        </w:tc>
        <w:tc>
          <w:tcPr>
            <w:tcW w:w="164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473" w:type="dxa"/>
            <w:vMerge w:val="continue"/>
            <w:vAlign w:val="center"/>
          </w:tcPr>
          <w:p>
            <w:pPr>
              <w:spacing w:line="240" w:lineRule="atLeast"/>
              <w:jc w:val="center"/>
              <w:rPr>
                <w:rFonts w:hint="default" w:ascii="Times New Roman" w:hAnsi="Times New Roman" w:eastAsia="仿宋" w:cs="Times New Roman"/>
                <w:sz w:val="21"/>
                <w:szCs w:val="21"/>
              </w:rPr>
            </w:pPr>
          </w:p>
        </w:tc>
        <w:tc>
          <w:tcPr>
            <w:tcW w:w="1646"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473" w:type="dxa"/>
            <w:vMerge w:val="continue"/>
            <w:vAlign w:val="center"/>
          </w:tcPr>
          <w:p>
            <w:pPr>
              <w:spacing w:line="240" w:lineRule="atLeast"/>
              <w:jc w:val="center"/>
              <w:rPr>
                <w:rFonts w:hint="default" w:ascii="Times New Roman" w:hAnsi="Times New Roman" w:eastAsia="仿宋" w:cs="Times New Roman"/>
                <w:sz w:val="21"/>
                <w:szCs w:val="21"/>
              </w:rPr>
            </w:pPr>
          </w:p>
        </w:tc>
        <w:tc>
          <w:tcPr>
            <w:tcW w:w="1646"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473" w:type="dxa"/>
            <w:vMerge w:val="continue"/>
            <w:vAlign w:val="center"/>
          </w:tcPr>
          <w:p>
            <w:pPr>
              <w:spacing w:line="240" w:lineRule="atLeast"/>
              <w:jc w:val="center"/>
              <w:rPr>
                <w:rFonts w:hint="default" w:ascii="Times New Roman" w:hAnsi="Times New Roman" w:eastAsia="仿宋" w:cs="Times New Roman"/>
                <w:sz w:val="21"/>
                <w:szCs w:val="21"/>
              </w:rPr>
            </w:pPr>
          </w:p>
        </w:tc>
        <w:tc>
          <w:tcPr>
            <w:tcW w:w="1646"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473" w:type="dxa"/>
            <w:vMerge w:val="continue"/>
            <w:vAlign w:val="center"/>
          </w:tcPr>
          <w:p>
            <w:pPr>
              <w:spacing w:line="240" w:lineRule="atLeast"/>
              <w:jc w:val="center"/>
              <w:rPr>
                <w:rFonts w:hint="default" w:ascii="Times New Roman" w:hAnsi="Times New Roman" w:eastAsia="仿宋" w:cs="Times New Roman"/>
                <w:sz w:val="21"/>
                <w:szCs w:val="21"/>
              </w:rPr>
            </w:pPr>
          </w:p>
        </w:tc>
        <w:tc>
          <w:tcPr>
            <w:tcW w:w="1646"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473" w:type="dxa"/>
            <w:vMerge w:val="continue"/>
            <w:vAlign w:val="center"/>
          </w:tcPr>
          <w:p>
            <w:pPr>
              <w:spacing w:line="240" w:lineRule="atLeast"/>
              <w:jc w:val="center"/>
              <w:rPr>
                <w:rFonts w:hint="default" w:ascii="Times New Roman" w:hAnsi="Times New Roman" w:eastAsia="仿宋" w:cs="Times New Roman"/>
                <w:sz w:val="21"/>
                <w:szCs w:val="21"/>
              </w:rPr>
            </w:pPr>
          </w:p>
        </w:tc>
        <w:tc>
          <w:tcPr>
            <w:tcW w:w="1646"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473" w:type="dxa"/>
            <w:vMerge w:val="continue"/>
            <w:vAlign w:val="center"/>
          </w:tcPr>
          <w:p>
            <w:pPr>
              <w:spacing w:line="240" w:lineRule="atLeast"/>
              <w:jc w:val="center"/>
              <w:rPr>
                <w:rFonts w:hint="default" w:ascii="Times New Roman" w:hAnsi="Times New Roman" w:eastAsia="仿宋" w:cs="Times New Roman"/>
                <w:sz w:val="21"/>
                <w:szCs w:val="21"/>
              </w:rPr>
            </w:pPr>
          </w:p>
        </w:tc>
        <w:tc>
          <w:tcPr>
            <w:tcW w:w="1646"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473" w:type="dxa"/>
            <w:vMerge w:val="continue"/>
            <w:vAlign w:val="center"/>
          </w:tcPr>
          <w:p>
            <w:pPr>
              <w:spacing w:line="240" w:lineRule="atLeast"/>
              <w:jc w:val="center"/>
              <w:rPr>
                <w:rFonts w:hint="default" w:ascii="Times New Roman" w:hAnsi="Times New Roman" w:eastAsia="仿宋" w:cs="Times New Roman"/>
                <w:sz w:val="21"/>
                <w:szCs w:val="21"/>
              </w:rPr>
            </w:pPr>
          </w:p>
        </w:tc>
        <w:tc>
          <w:tcPr>
            <w:tcW w:w="1646"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对生产经营单位</w:t>
            </w:r>
            <w:r>
              <w:rPr>
                <w:rFonts w:hint="default" w:ascii="Times New Roman" w:hAnsi="Times New Roman" w:eastAsia="仿宋" w:cs="Times New Roman"/>
                <w:color w:val="000000"/>
                <w:kern w:val="0"/>
                <w:sz w:val="21"/>
                <w:szCs w:val="21"/>
              </w:rPr>
              <w:t>未按照规定对从业人员、被派遣劳动者、实习学生进行安全生产教育和培训的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对生产经营单位</w:t>
            </w:r>
            <w:r>
              <w:rPr>
                <w:rFonts w:hint="default" w:ascii="Times New Roman" w:hAnsi="Times New Roman" w:eastAsia="仿宋" w:cs="Times New Roman"/>
                <w:color w:val="000000"/>
                <w:kern w:val="0"/>
                <w:sz w:val="21"/>
                <w:szCs w:val="21"/>
              </w:rPr>
              <w:t>未按照规定告知作业场所、工作岗位存在的危险、危害因素及防范和应急措施等有关安全生产事项的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对生产经营单位</w:t>
            </w:r>
            <w:r>
              <w:rPr>
                <w:rFonts w:hint="default" w:ascii="Times New Roman" w:hAnsi="Times New Roman" w:eastAsia="仿宋" w:cs="Times New Roman"/>
                <w:color w:val="000000"/>
                <w:kern w:val="0"/>
                <w:sz w:val="21"/>
                <w:szCs w:val="21"/>
              </w:rPr>
              <w:t>未如实记录安全生产教育和培训情况的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对生产经营单位</w:t>
            </w:r>
            <w:r>
              <w:rPr>
                <w:rFonts w:hint="default" w:ascii="Times New Roman" w:hAnsi="Times New Roman" w:eastAsia="仿宋" w:cs="Times New Roman"/>
                <w:color w:val="000000"/>
                <w:kern w:val="0"/>
                <w:sz w:val="21"/>
                <w:szCs w:val="21"/>
              </w:rPr>
              <w:t>未按照规定制定生产安全事故应急救援预案、建立应急救援组织、配备必要的应急救援物资装备、设置紧急避险救生设施的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对生产经营单位</w:t>
            </w:r>
            <w:r>
              <w:rPr>
                <w:rFonts w:hint="default" w:ascii="Times New Roman" w:hAnsi="Times New Roman" w:eastAsia="仿宋" w:cs="Times New Roman"/>
                <w:color w:val="000000"/>
                <w:kern w:val="0"/>
                <w:sz w:val="21"/>
                <w:szCs w:val="21"/>
              </w:rPr>
              <w:t>未开展应急预案培训或者定期组织应急预案演练的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对生产经营单位</w:t>
            </w:r>
            <w:r>
              <w:rPr>
                <w:rFonts w:hint="default" w:ascii="Times New Roman" w:hAnsi="Times New Roman" w:eastAsia="仿宋" w:cs="Times New Roman"/>
                <w:color w:val="000000"/>
                <w:kern w:val="0"/>
                <w:sz w:val="21"/>
                <w:szCs w:val="21"/>
              </w:rPr>
              <w:t>未将事故隐患排查治理有关情况向负有安全生产监督管理职责的部门报告或者向从业人员通报的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矿山、金属冶炼、建筑施工、危险物品的生产、经营、存储单位有关负责人未执行现场带班制度的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生产经营单位的主要负责人未履行本条例规定的安全生产管理职责逾期未改正的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生产经营单位的安全生产管理人员未履行本条例规定的安全生产管理职责导致发生生产安全事故的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《河南省安全生产条例》第五十七条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生产经营单位的生产区域、生活区域、储存区域之间的安全距离以及周边防护安全距离不符合国家标准或者行业标准的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对生产经营单位</w:t>
            </w:r>
            <w:r>
              <w:rPr>
                <w:rFonts w:hint="default" w:ascii="Times New Roman" w:hAnsi="Times New Roman" w:eastAsia="仿宋" w:cs="Times New Roman"/>
                <w:color w:val="000000"/>
                <w:kern w:val="0"/>
                <w:sz w:val="21"/>
                <w:szCs w:val="21"/>
              </w:rPr>
              <w:t>生产经营场所未按照规定设置安全出口和应急疏散通道，或者有挤占、堵塞疏散通道、通风口、消防通道行为的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Times New Roman" w:hAnsi="Times New Roman" w:cs="Times New Roman"/>
          <w:sz w:val="21"/>
          <w:szCs w:val="21"/>
        </w:rPr>
      </w:pPr>
    </w:p>
    <w:p>
      <w:pPr>
        <w:jc w:val="center"/>
        <w:rPr>
          <w:rFonts w:hint="default" w:ascii="仿宋_GB2312" w:hAnsi="仿宋_GB2312" w:eastAsia="仿宋_GB2312" w:cs="仿宋_GB2312"/>
          <w:sz w:val="32"/>
          <w:szCs w:val="32"/>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人员密集场所的经营管理单位未采取播放安全告知、张贴安全须知或者设置安全警示标志等方式进行安全提示的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生产经营单位未按照安全生产事故隐患排查治理制度组织事故隐患排查逾期未改正的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《河南省安全生产条例》第五十九条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生产经营单位未为从业人员提供符合国家标准或者行业标准的劳动防护用品或者以货币等形式替代发放劳动防护用品的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《河南省安全生产条例》第六十条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生产经营单位未在存在安全生产风险的作业场所和生产、储存设施处设置明显的安全警示标志的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《河南省安全生产条例》第六十条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生产经营单位安全设备以及相关设施不符合国家标准或者行业标准的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《河南省安全生产条例》第六十条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生产经营单位未落实重大危险源监测监控管理责任的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《河南省安全生产条例》第六十一条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生产经营单位进行爆破、吊装以及国家规定的其他危险作业，未落实有关安全措施的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《河南省安全生产条例》第六十一条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生产经营单位未建立实施安全生产风险管控和事故隐患排查治理制度的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《河南省安全生产条例》第六十一条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615"/>
        <w:gridCol w:w="1504"/>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615"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504"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615"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rPr>
              <w:t>矿山和危险物品的生产、储存、装卸单位将建设项目的安全设施交由不具有相应资质的施工单位进行施工的，以及施工单位未编制施工组织设计或者未按照安全设施设计、施工组织设计施工的</w:t>
            </w:r>
            <w:r>
              <w:rPr>
                <w:rFonts w:hint="default" w:ascii="Times New Roman" w:hAnsi="Times New Roman" w:eastAsia="仿宋" w:cs="Times New Roman"/>
                <w:sz w:val="21"/>
                <w:szCs w:val="21"/>
              </w:rPr>
              <w:t>行政处罚</w:t>
            </w:r>
          </w:p>
        </w:tc>
        <w:tc>
          <w:tcPr>
            <w:tcW w:w="1504"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《河南省安全生产条例》第六十二条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对未取得资质的机构及其有关人员擅自从事安全评价、检测检验服务的行政处罚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《安全评价检测检验机构管理办法》第二十九条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安全评价检测检验机构未依法与委托方签订技术服务合同的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安全评价检测检验机构违反法规标准规定更改或者简化安全评价、检测检验程序和相关内容的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安全评价检测检验机构未按规定公开安全评价报告、安全生产检测检验报告相关信息及现场勘验图像影像资料的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安全评价检测检验机构未在开展现场技术服务前七个工作日内，书面告知项目实施地资质认可机关的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73"/>
        <w:gridCol w:w="1646"/>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47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64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47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安全评价检测检验机构机构名称、注册地址、实验室条件、法定代表人、专职技术负责人、授权签字人发生变化之日起三十日内未向原资质认可机关提出变更申请的</w:t>
            </w:r>
            <w:r>
              <w:rPr>
                <w:rFonts w:hint="default" w:ascii="Times New Roman" w:hAnsi="Times New Roman" w:eastAsia="仿宋" w:cs="Times New Roman"/>
                <w:sz w:val="21"/>
                <w:szCs w:val="21"/>
              </w:rPr>
              <w:t>行政处罚</w:t>
            </w:r>
          </w:p>
        </w:tc>
        <w:tc>
          <w:tcPr>
            <w:tcW w:w="1646"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473" w:type="dxa"/>
            <w:vMerge w:val="continue"/>
            <w:vAlign w:val="center"/>
          </w:tcPr>
          <w:p>
            <w:pPr>
              <w:spacing w:line="240" w:lineRule="atLeast"/>
              <w:jc w:val="center"/>
              <w:rPr>
                <w:rFonts w:hint="default" w:ascii="Times New Roman" w:hAnsi="Times New Roman" w:cs="Times New Roman"/>
                <w:sz w:val="21"/>
                <w:szCs w:val="21"/>
              </w:rPr>
            </w:pPr>
          </w:p>
        </w:tc>
        <w:tc>
          <w:tcPr>
            <w:tcW w:w="1646"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473" w:type="dxa"/>
            <w:vMerge w:val="continue"/>
            <w:vAlign w:val="center"/>
          </w:tcPr>
          <w:p>
            <w:pPr>
              <w:spacing w:line="240" w:lineRule="atLeast"/>
              <w:jc w:val="center"/>
              <w:rPr>
                <w:rFonts w:hint="default" w:ascii="Times New Roman" w:hAnsi="Times New Roman" w:cs="Times New Roman"/>
                <w:sz w:val="21"/>
                <w:szCs w:val="21"/>
              </w:rPr>
            </w:pPr>
          </w:p>
        </w:tc>
        <w:tc>
          <w:tcPr>
            <w:tcW w:w="1646"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473" w:type="dxa"/>
            <w:vMerge w:val="continue"/>
            <w:vAlign w:val="center"/>
          </w:tcPr>
          <w:p>
            <w:pPr>
              <w:spacing w:line="240" w:lineRule="atLeast"/>
              <w:jc w:val="center"/>
              <w:rPr>
                <w:rFonts w:hint="default" w:ascii="Times New Roman" w:hAnsi="Times New Roman" w:cs="Times New Roman"/>
                <w:sz w:val="21"/>
                <w:szCs w:val="21"/>
              </w:rPr>
            </w:pPr>
          </w:p>
        </w:tc>
        <w:tc>
          <w:tcPr>
            <w:tcW w:w="1646"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473" w:type="dxa"/>
            <w:vMerge w:val="continue"/>
            <w:vAlign w:val="center"/>
          </w:tcPr>
          <w:p>
            <w:pPr>
              <w:spacing w:line="240" w:lineRule="atLeast"/>
              <w:jc w:val="center"/>
              <w:rPr>
                <w:rFonts w:hint="default" w:ascii="Times New Roman" w:hAnsi="Times New Roman" w:cs="Times New Roman"/>
                <w:sz w:val="21"/>
                <w:szCs w:val="21"/>
              </w:rPr>
            </w:pPr>
          </w:p>
        </w:tc>
        <w:tc>
          <w:tcPr>
            <w:tcW w:w="1646"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473" w:type="dxa"/>
            <w:vMerge w:val="continue"/>
            <w:vAlign w:val="center"/>
          </w:tcPr>
          <w:p>
            <w:pPr>
              <w:spacing w:line="240" w:lineRule="atLeast"/>
              <w:jc w:val="center"/>
              <w:rPr>
                <w:rFonts w:hint="default" w:ascii="Times New Roman" w:hAnsi="Times New Roman" w:cs="Times New Roman"/>
                <w:sz w:val="21"/>
                <w:szCs w:val="21"/>
              </w:rPr>
            </w:pPr>
          </w:p>
        </w:tc>
        <w:tc>
          <w:tcPr>
            <w:tcW w:w="1646"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473" w:type="dxa"/>
            <w:vMerge w:val="continue"/>
            <w:vAlign w:val="center"/>
          </w:tcPr>
          <w:p>
            <w:pPr>
              <w:spacing w:line="240" w:lineRule="atLeast"/>
              <w:jc w:val="center"/>
              <w:rPr>
                <w:rFonts w:hint="default" w:ascii="Times New Roman" w:hAnsi="Times New Roman" w:cs="Times New Roman"/>
                <w:sz w:val="21"/>
                <w:szCs w:val="21"/>
              </w:rPr>
            </w:pPr>
          </w:p>
        </w:tc>
        <w:tc>
          <w:tcPr>
            <w:tcW w:w="1646"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473" w:type="dxa"/>
            <w:vMerge w:val="continue"/>
            <w:vAlign w:val="center"/>
          </w:tcPr>
          <w:p>
            <w:pPr>
              <w:spacing w:line="240" w:lineRule="atLeast"/>
              <w:jc w:val="center"/>
              <w:rPr>
                <w:rFonts w:hint="default" w:ascii="Times New Roman" w:hAnsi="Times New Roman" w:cs="Times New Roman"/>
                <w:sz w:val="21"/>
                <w:szCs w:val="21"/>
              </w:rPr>
            </w:pPr>
          </w:p>
        </w:tc>
        <w:tc>
          <w:tcPr>
            <w:tcW w:w="1646"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安全评价检测检验机构未按照有关法规标准的强制性规定从事安全评价、检测检验活动的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Times New Roman" w:hAnsi="Times New Roman" w:cs="Times New Roman"/>
          <w:sz w:val="21"/>
          <w:szCs w:val="21"/>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安全评价检测检验机构出租、出借安全评价检测检验资质证书的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安全评价检测检验机构安全评价项目组组长及负责勘验人员不到现场实际地点开展勘验等有关工作的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安全评价检测检验机构承担现场检测检验的人员不到现场实际地点开展设备检测检验等有关工作的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615"/>
        <w:gridCol w:w="1504"/>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615"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504"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615"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安全评价检测检验机构安全评价报告存在法规标准引用错误、关键危险有害因素漏项、重大危险源辨识错误、对策措施建议与存在问题严重不符等重大疏漏，但尚未造成重大损失的</w:t>
            </w:r>
            <w:r>
              <w:rPr>
                <w:rFonts w:hint="default" w:ascii="Times New Roman" w:hAnsi="Times New Roman" w:eastAsia="仿宋" w:cs="Times New Roman"/>
                <w:sz w:val="21"/>
                <w:szCs w:val="21"/>
              </w:rPr>
              <w:t>行政处罚</w:t>
            </w:r>
          </w:p>
        </w:tc>
        <w:tc>
          <w:tcPr>
            <w:tcW w:w="1504"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615" w:type="dxa"/>
            <w:vMerge w:val="continue"/>
            <w:vAlign w:val="center"/>
          </w:tcPr>
          <w:p>
            <w:pPr>
              <w:spacing w:line="240" w:lineRule="atLeast"/>
              <w:jc w:val="center"/>
              <w:rPr>
                <w:rFonts w:hint="default" w:ascii="Times New Roman" w:hAnsi="Times New Roman" w:cs="Times New Roman"/>
                <w:sz w:val="21"/>
                <w:szCs w:val="21"/>
              </w:rPr>
            </w:pPr>
          </w:p>
        </w:tc>
        <w:tc>
          <w:tcPr>
            <w:tcW w:w="1504"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职权</w:t>
            </w:r>
          </w:p>
          <w:p>
            <w:pPr>
              <w:spacing w:line="240" w:lineRule="atLeast"/>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333333"/>
                <w:kern w:val="0"/>
                <w:sz w:val="21"/>
                <w:szCs w:val="21"/>
              </w:rPr>
              <w:t>安全评价检测检验机构安全生产检测检验报告存在法规标准引用错误、关键项目漏检、结论不明确等重大疏漏，但尚未造成重大损失的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《安全评价检测检验机构管理办法》第三十条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对未经安全条件审查或者安全条件审查未通过，新建、改建、扩建生产、储存危险化学品的建设项目的行政处罚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对未经变更设计审查或者变更设计审查未通过，擅自建设的行政处罚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《中华人民共和国安全生产法》第九十五条</w:t>
            </w:r>
          </w:p>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《危险化学品建设项目安全监督管理办法》（安监总局令第45号）第三十六条</w:t>
            </w:r>
          </w:p>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对建设项目的施工单位未根据批准的安全设施设计施工的的行政处罚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《中华人民共和国安全生产法》第九十五条</w:t>
            </w:r>
          </w:p>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《危险化学品建设项目安全监督管理办法》（安监总局令第45号）第三十六条</w:t>
            </w:r>
          </w:p>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eastAsia="仿宋"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对建设项目安全设施未经竣工验收或者验收不合格，擅自投入生产（使用）的行政处罚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《中华人民共和国安全生产法》第九十五条</w:t>
            </w:r>
          </w:p>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《危险化学品建设项目安全监督管理办法》（安监总局令第45号）第三十六条</w:t>
            </w:r>
          </w:p>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Times New Roman" w:hAnsi="Times New Roman" w:cs="Times New Roman"/>
          <w:sz w:val="21"/>
          <w:szCs w:val="21"/>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对建设项目安全设施竣工后未进行检验、检测的行政处罚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《中华人民共和国安全生产法》第九十五条；</w:t>
            </w:r>
          </w:p>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《危险化学品建设项目安全监督管理办法》（安监总局令第45号）第三十七条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eastAsia="仿宋" w:cs="Times New Roman"/>
          <w:sz w:val="21"/>
          <w:szCs w:val="21"/>
        </w:rPr>
      </w:pPr>
    </w:p>
    <w:p>
      <w:pPr>
        <w:jc w:val="center"/>
        <w:rPr>
          <w:rFonts w:hint="default" w:ascii="仿宋_GB2312" w:hAnsi="仿宋_GB2312" w:eastAsia="仿宋_GB2312" w:cs="仿宋_GB2312"/>
          <w:sz w:val="32"/>
          <w:szCs w:val="32"/>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对在申请建设项目安全审查时提供虚假文件、资料的行政处罚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《危险化学品建设项目安全监督管理办法》（安监总局令第45号）第三十七条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eastAsia="仿宋"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对未组织有关单位和专家研究提出试生产（使用）可能出现的安全问题及对策，或者未制定周密的试生产（使用）方案，进行试生产（使用）的行政处罚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《危险化学品建设项目安全监督管理办法》（安监总局令第45号）第三十七条</w:t>
            </w:r>
          </w:p>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对未组织有关专家对试生产（使用）方案进行审查、对试生产（使用）条件进行检查确认的行政处罚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《危险化学品建设项目安全监督管理办法》（安监总局令第45号）第三十七条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对建设单位隐瞒有关情况或者提供虚假材料申请建设项目安全审查的行政处罚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eastAsia="楷体"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对建设单位采用欺骗、贿赂等不正当手段取得建设项目安全审查的行政处罚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《危险化学品建设项目安全监督管理办法》（安监总局令第45号）第三十八条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_GB2312" w:cs="Times New Roman"/>
                <w:kern w:val="0"/>
                <w:sz w:val="21"/>
                <w:szCs w:val="21"/>
              </w:rPr>
              <w:t>操作室、会议室、交接班室、活动室、休息室、更衣室等场所设置在铁水、钢水和液渣吊运影响的范围内</w:t>
            </w:r>
            <w:r>
              <w:rPr>
                <w:rFonts w:hint="default" w:ascii="Times New Roman" w:hAnsi="Times New Roman" w:eastAsia="仿宋" w:cs="Times New Roman"/>
                <w:sz w:val="21"/>
                <w:szCs w:val="21"/>
              </w:rPr>
              <w:t>”的行政处罚</w:t>
            </w:r>
          </w:p>
        </w:tc>
        <w:tc>
          <w:tcPr>
            <w:tcW w:w="1843" w:type="dxa"/>
            <w:vMerge w:val="restart"/>
            <w:vAlign w:val="center"/>
          </w:tcPr>
          <w:p>
            <w:pPr>
              <w:spacing w:line="240" w:lineRule="atLeast"/>
              <w:jc w:val="center"/>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《安全生产法》第九十九条；</w:t>
            </w:r>
          </w:p>
          <w:p>
            <w:pPr>
              <w:spacing w:line="240" w:lineRule="atLeast"/>
              <w:jc w:val="center"/>
              <w:rPr>
                <w:rFonts w:hint="default" w:ascii="Times New Roman" w:hAnsi="Times New Roman" w:cs="Times New Roman"/>
                <w:sz w:val="21"/>
                <w:szCs w:val="21"/>
              </w:rPr>
            </w:pPr>
            <w:r>
              <w:rPr>
                <w:rFonts w:hint="default" w:ascii="Times New Roman" w:hAnsi="Times New Roman" w:eastAsia="仿宋_GB2312" w:cs="Times New Roman"/>
                <w:kern w:val="0"/>
                <w:sz w:val="21"/>
                <w:szCs w:val="21"/>
              </w:rPr>
              <w:t>《冶金企业和有色金属企业安全生产规定》（国家安全监管总局令第91号）第四十六条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对“使用国家明令禁止使用的设备、材料和工艺”的行政处罚</w:t>
            </w:r>
          </w:p>
        </w:tc>
        <w:tc>
          <w:tcPr>
            <w:tcW w:w="1843" w:type="dxa"/>
            <w:vMerge w:val="restart"/>
            <w:vAlign w:val="center"/>
          </w:tcPr>
          <w:p>
            <w:pPr>
              <w:spacing w:line="240" w:lineRule="atLeast"/>
              <w:jc w:val="center"/>
              <w:rPr>
                <w:rFonts w:hint="default" w:ascii="Times New Roman" w:hAnsi="Times New Roman" w:eastAsia="仿宋_GB2312" w:cs="Times New Roman"/>
                <w:sz w:val="21"/>
                <w:szCs w:val="21"/>
              </w:rPr>
            </w:pPr>
            <w:r>
              <w:rPr>
                <w:rFonts w:hint="default" w:ascii="Times New Roman" w:hAnsi="Times New Roman" w:eastAsia="仿宋_GB2312" w:cs="Times New Roman"/>
                <w:spacing w:val="-6"/>
                <w:kern w:val="0"/>
                <w:sz w:val="21"/>
                <w:szCs w:val="21"/>
              </w:rPr>
              <w:t>《安全生产法》第九十六条第六款；</w:t>
            </w:r>
            <w:r>
              <w:rPr>
                <w:rFonts w:hint="default" w:ascii="Times New Roman" w:hAnsi="Times New Roman" w:eastAsia="仿宋_GB2312" w:cs="Times New Roman"/>
                <w:kern w:val="0"/>
                <w:sz w:val="21"/>
                <w:szCs w:val="21"/>
              </w:rPr>
              <w:t>《冶金企业和有色金属企业安全生产规定》（国家安全监管总局令第91号）第四十六条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w:t>
            </w:r>
            <w:r>
              <w:rPr>
                <w:rFonts w:hint="default" w:ascii="仿宋_GB2312" w:hAnsi="仿宋_GB2312" w:eastAsia="仿宋_GB2312" w:cs="仿宋_GB2312"/>
                <w:b/>
                <w:bCs/>
                <w:sz w:val="21"/>
                <w:szCs w:val="21"/>
              </w:rPr>
              <w:t>人民法院</w:t>
            </w:r>
            <w:r>
              <w:rPr>
                <w:rFonts w:hint="default" w:ascii="Times New Roman" w:hAnsi="Times New Roman" w:eastAsia="仿宋" w:cs="Times New Roman"/>
                <w:sz w:val="21"/>
                <w:szCs w:val="21"/>
              </w:rPr>
              <w:t>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_GB2312" w:cs="Times New Roman"/>
                <w:bCs/>
                <w:kern w:val="0"/>
                <w:sz w:val="21"/>
                <w:szCs w:val="21"/>
              </w:rPr>
              <w:t>未按照规定制定有限空间作业方案或者方案未经审批擅自作业</w:t>
            </w:r>
            <w:r>
              <w:rPr>
                <w:rFonts w:hint="default" w:ascii="Times New Roman" w:hAnsi="Times New Roman" w:eastAsia="仿宋" w:cs="Times New Roman"/>
                <w:sz w:val="21"/>
                <w:szCs w:val="21"/>
              </w:rPr>
              <w:t>”的行政处罚</w:t>
            </w:r>
          </w:p>
        </w:tc>
        <w:tc>
          <w:tcPr>
            <w:tcW w:w="1843" w:type="dxa"/>
            <w:vMerge w:val="restart"/>
            <w:vAlign w:val="center"/>
          </w:tcPr>
          <w:p>
            <w:pPr>
              <w:spacing w:line="240" w:lineRule="atLeast"/>
              <w:jc w:val="center"/>
              <w:rPr>
                <w:rFonts w:hint="default" w:ascii="Times New Roman" w:hAnsi="Times New Roman" w:cs="Times New Roman"/>
                <w:sz w:val="21"/>
                <w:szCs w:val="21"/>
              </w:rPr>
            </w:pPr>
            <w:r>
              <w:rPr>
                <w:rFonts w:hint="default" w:ascii="Times New Roman" w:hAnsi="Times New Roman" w:eastAsia="仿宋_GB2312" w:cs="Times New Roman"/>
                <w:bCs/>
                <w:kern w:val="0"/>
                <w:sz w:val="21"/>
                <w:szCs w:val="21"/>
              </w:rPr>
              <w:t>《工贸企业有限空间作业安全管理与监督暂行规定》</w:t>
            </w:r>
            <w:r>
              <w:rPr>
                <w:rFonts w:hint="default" w:ascii="Times New Roman" w:hAnsi="Times New Roman" w:eastAsia="仿宋_GB2312" w:cs="Times New Roman"/>
                <w:sz w:val="21"/>
                <w:szCs w:val="21"/>
              </w:rPr>
              <w:t>（原国家安监总局59号令）</w:t>
            </w:r>
            <w:r>
              <w:rPr>
                <w:rFonts w:hint="default" w:ascii="Times New Roman" w:hAnsi="Times New Roman" w:eastAsia="仿宋_GB2312" w:cs="Times New Roman"/>
                <w:bCs/>
                <w:kern w:val="0"/>
                <w:sz w:val="21"/>
                <w:szCs w:val="21"/>
              </w:rPr>
              <w:t>第三十条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职权</w:t>
            </w:r>
          </w:p>
          <w:p>
            <w:pPr>
              <w:spacing w:line="240" w:lineRule="atLeast"/>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类别</w:t>
            </w:r>
          </w:p>
        </w:tc>
        <w:tc>
          <w:tcPr>
            <w:tcW w:w="1276" w:type="dxa"/>
            <w:vAlign w:val="center"/>
          </w:tcPr>
          <w:p>
            <w:pPr>
              <w:spacing w:line="240" w:lineRule="atLeast"/>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_GB2312" w:cs="Times New Roman"/>
                <w:bCs/>
                <w:kern w:val="0"/>
                <w:sz w:val="21"/>
                <w:szCs w:val="21"/>
              </w:rPr>
              <w:t>未在有限空间作业场所设置明显的安全警示标志</w:t>
            </w:r>
            <w:r>
              <w:rPr>
                <w:rFonts w:hint="default" w:ascii="Times New Roman" w:hAnsi="Times New Roman" w:eastAsia="仿宋" w:cs="Times New Roman"/>
                <w:sz w:val="21"/>
                <w:szCs w:val="21"/>
              </w:rPr>
              <w:t>”的行政处罚</w:t>
            </w:r>
          </w:p>
        </w:tc>
        <w:tc>
          <w:tcPr>
            <w:tcW w:w="1843" w:type="dxa"/>
            <w:vMerge w:val="restart"/>
            <w:vAlign w:val="center"/>
          </w:tcPr>
          <w:p>
            <w:pPr>
              <w:spacing w:line="240" w:lineRule="atLeast"/>
              <w:jc w:val="center"/>
              <w:rPr>
                <w:rFonts w:hint="default" w:ascii="Times New Roman" w:hAnsi="Times New Roman" w:cs="Times New Roman"/>
                <w:sz w:val="21"/>
                <w:szCs w:val="21"/>
              </w:rPr>
            </w:pPr>
            <w:r>
              <w:rPr>
                <w:rFonts w:hint="default" w:ascii="Times New Roman" w:hAnsi="Times New Roman" w:eastAsia="仿宋_GB2312" w:cs="Times New Roman"/>
                <w:bCs/>
                <w:kern w:val="0"/>
                <w:sz w:val="21"/>
                <w:szCs w:val="21"/>
              </w:rPr>
              <w:t>《工贸企业有限空间作业安全管理与监督暂行规定》（原国家安监总局59号令）</w:t>
            </w:r>
            <w:r>
              <w:rPr>
                <w:rFonts w:hint="default" w:ascii="Times New Roman" w:hAnsi="Times New Roman" w:eastAsia="仿宋_GB2312" w:cs="Times New Roman"/>
                <w:kern w:val="0"/>
                <w:sz w:val="21"/>
                <w:szCs w:val="21"/>
              </w:rPr>
              <w:t>第二十八条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jc w:val="cente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_GB2312" w:cs="Times New Roman"/>
                <w:bCs/>
                <w:kern w:val="0"/>
                <w:sz w:val="21"/>
                <w:szCs w:val="21"/>
              </w:rPr>
              <w:t>未向作业人员提供符合国家标准或者行业标准的安全帽、全身式安全带、三脚架、安全绳，以及与作业环境危险有害因素相适应的检测报警仪器、正压式呼吸器等劳动防护用品</w:t>
            </w:r>
            <w:r>
              <w:rPr>
                <w:rFonts w:hint="default" w:ascii="Times New Roman" w:hAnsi="Times New Roman" w:eastAsia="仿宋" w:cs="Times New Roman"/>
                <w:sz w:val="21"/>
                <w:szCs w:val="21"/>
              </w:rPr>
              <w:t>”的行政处罚</w:t>
            </w:r>
          </w:p>
        </w:tc>
        <w:tc>
          <w:tcPr>
            <w:tcW w:w="1843" w:type="dxa"/>
            <w:vMerge w:val="restart"/>
            <w:vAlign w:val="center"/>
          </w:tcPr>
          <w:p>
            <w:pPr>
              <w:spacing w:line="240" w:lineRule="atLeast"/>
              <w:jc w:val="center"/>
              <w:rPr>
                <w:rFonts w:hint="default" w:ascii="Times New Roman" w:hAnsi="Times New Roman" w:cs="Times New Roman"/>
                <w:sz w:val="21"/>
                <w:szCs w:val="21"/>
              </w:rPr>
            </w:pPr>
            <w:r>
              <w:rPr>
                <w:rFonts w:hint="default" w:ascii="Times New Roman" w:hAnsi="Times New Roman" w:eastAsia="仿宋_GB2312" w:cs="Times New Roman"/>
                <w:bCs/>
                <w:kern w:val="0"/>
                <w:sz w:val="21"/>
                <w:szCs w:val="21"/>
              </w:rPr>
              <w:t>《工贸企业有限空间作业安全管理与监督暂行规定》（原国家安监总局59号令）第二十八条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cs="Times New Roman"/>
                <w:sz w:val="21"/>
                <w:szCs w:val="21"/>
              </w:rPr>
            </w:pPr>
          </w:p>
        </w:tc>
        <w:tc>
          <w:tcPr>
            <w:tcW w:w="1276" w:type="dxa"/>
            <w:vMerge w:val="continue"/>
            <w:vAlign w:val="center"/>
          </w:tcPr>
          <w:p>
            <w:pPr>
              <w:spacing w:line="240" w:lineRule="atLeast"/>
              <w:jc w:val="center"/>
              <w:rPr>
                <w:rFonts w:hint="default" w:ascii="Times New Roman" w:hAnsi="Times New Roman" w:cs="Times New Roman"/>
                <w:sz w:val="21"/>
                <w:szCs w:val="21"/>
              </w:rPr>
            </w:pPr>
          </w:p>
        </w:tc>
        <w:tc>
          <w:tcPr>
            <w:tcW w:w="1843" w:type="dxa"/>
            <w:vMerge w:val="continue"/>
            <w:vAlign w:val="center"/>
          </w:tcPr>
          <w:p>
            <w:pPr>
              <w:spacing w:line="240" w:lineRule="atLeast"/>
              <w:jc w:val="center"/>
              <w:rPr>
                <w:rFonts w:hint="default" w:ascii="Times New Roman" w:hAnsi="Times New Roman"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lang w:eastAsia="zh-CN"/>
              </w:rPr>
              <w:t>未取得安全生产许可证擅自进行安全生产</w:t>
            </w:r>
            <w:r>
              <w:rPr>
                <w:rFonts w:hint="default" w:ascii="Times New Roman" w:hAnsi="Times New Roman" w:eastAsia="仿宋" w:cs="Times New Roman"/>
                <w:color w:val="000000"/>
                <w:kern w:val="0"/>
                <w:sz w:val="21"/>
                <w:szCs w:val="21"/>
              </w:rPr>
              <w:t>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安全生产许可证条例</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十九</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lang w:eastAsia="zh-CN"/>
              </w:rPr>
              <w:t>安全生产许可证有效期满未办理延期手续，继续进行生产的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安全生产许可证条例</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二十</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lang w:eastAsia="zh-CN"/>
              </w:rPr>
              <w:t>转让安全生产许可证的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安全生产许可证条例</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二十一</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lang w:eastAsia="zh-CN"/>
              </w:rPr>
              <w:t>生产经营单位主要负责人、安全生产管理人员、特种作业人员以欺骗、贿赂等不正当手段取得安全合格证或者特种作业操作证的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安全生产培训管理办法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三十五</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lang w:eastAsia="zh-CN"/>
              </w:rPr>
              <w:t>从业人员安全培训的时间少于《生产经营单位安全培训规定》或者有关标准规定的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安全生产培训管理办法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三十六</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lang w:eastAsia="zh-CN"/>
              </w:rPr>
              <w:t>矿山新招的井下作业人员和危险物品生产经营单位新招的危险工艺操作岗位人员，未经实习期满独立上岗作业的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安全生产培训管理办法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三十六</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lang w:eastAsia="zh-CN"/>
              </w:rPr>
              <w:t>相关人员未按照《安全生产培训管理办法》第十二条规定重新参加安全培训的</w:t>
            </w:r>
            <w:r>
              <w:rPr>
                <w:rFonts w:hint="default" w:ascii="Times New Roman" w:hAnsi="Times New Roman" w:eastAsia="仿宋" w:cs="Times New Roman"/>
                <w:sz w:val="21"/>
                <w:szCs w:val="21"/>
              </w:rPr>
              <w:t>行政处罚</w:t>
            </w: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安全生产培训管理办法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三十六</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lang w:eastAsia="zh-CN"/>
              </w:rPr>
              <w:t>违反操作规程或者安全管理规定作业的；违章指挥从业人员或者强令从业人员违章、冒险作业的行政处罚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安全生产违法行为行政处罚办法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四十五</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Times New Roman" w:hAnsi="Times New Roman" w:cs="Times New Roman"/>
          <w:sz w:val="21"/>
          <w:szCs w:val="21"/>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sz w:val="21"/>
                <w:szCs w:val="21"/>
              </w:rPr>
              <w:t>对</w:t>
            </w:r>
            <w:r>
              <w:rPr>
                <w:rFonts w:hint="default" w:ascii="Times New Roman" w:hAnsi="Times New Roman" w:eastAsia="仿宋" w:cs="Times New Roman"/>
                <w:color w:val="000000"/>
                <w:kern w:val="0"/>
                <w:sz w:val="21"/>
                <w:szCs w:val="21"/>
                <w:lang w:eastAsia="zh-CN"/>
              </w:rPr>
              <w:t>发现从业人员违章作业不加制止的；超过核定的生产能力、强度或者定员进行生产的行政处罚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安全生产违法行为行政处罚办法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四十五</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对被查封或者扣押的设施、设备、器材、危险物品和作业场所，擅自启封或者使用的；故意提供虚假情况或者隐瞒存在的事故隐患以及其他安全问题的行政处罚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安全生产违法行为行政处罚办法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四十五</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对拒不执行安全监管监察部门依法下达的安全监管监察指令的行政处罚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安全生产违法行为行政处罚办法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四十五</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对危险品的生产、经营、储存单位以及矿山、金属冶炼单位未建立应急救援组织或者生产经营规模较小、未指定兼职应急救援人员的行政处罚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安全生产违法行为行政处罚办法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四十六</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对危险品的生产、经营、储存单位以及矿山、金属冶炼单位未配备必要的应急救援器材、设备和物资，并进行经常性维护、保养，保证正常运转的行政处罚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安全生产违法行为行政处罚办法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四十七</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对生产经营单位与从业人员订立协议，免除或者减轻其对从业人员因生产安全事故伤亡依法应承担的责任的，对生产经营单位的主要负责人、个人经营的投资人的行政处罚</w:t>
            </w:r>
          </w:p>
        </w:tc>
        <w:tc>
          <w:tcPr>
            <w:tcW w:w="1843" w:type="dxa"/>
            <w:vMerge w:val="restart"/>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安全生产违法行为行政处罚办法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四十六</w:t>
            </w:r>
            <w:r>
              <w:rPr>
                <w:rFonts w:hint="default" w:ascii="Times New Roman" w:hAnsi="Times New Roman" w:eastAsia="仿宋" w:cs="Times New Roman"/>
                <w:sz w:val="21"/>
                <w:szCs w:val="21"/>
              </w:rPr>
              <w:t>条</w:t>
            </w:r>
          </w:p>
        </w:tc>
        <w:tc>
          <w:tcPr>
            <w:tcW w:w="7738" w:type="dxa"/>
            <w:vAlign w:val="center"/>
          </w:tcPr>
          <w:p>
            <w:pPr>
              <w:widowControl w:val="0"/>
              <w:wordWrap/>
              <w:adjustRightInd/>
              <w:snapToGrid/>
              <w:spacing w:before="0" w:after="0" w:line="30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30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30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30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30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30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30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30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30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817"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30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30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对知道或者应当知道生产经营单位未取得安全生产许可证或者其他批准文件擅自从事生产经营活动，仍为其提供生产经营场所、运输、保管、仓储等条件的行政处罚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r>
              <w:rPr>
                <w:rFonts w:hint="default" w:ascii="Times New Roman" w:hAnsi="Times New Roman" w:eastAsia="仿宋" w:cs="Times New Roman"/>
                <w:sz w:val="21"/>
                <w:szCs w:val="21"/>
                <w:lang w:eastAsia="zh-CN"/>
              </w:rPr>
              <w:t>安全生产违法行为行政处罚办法</w:t>
            </w:r>
            <w:r>
              <w:rPr>
                <w:rFonts w:hint="default" w:ascii="Times New Roman" w:hAnsi="Times New Roman" w:eastAsia="仿宋" w:cs="Times New Roman"/>
                <w:sz w:val="21"/>
                <w:szCs w:val="21"/>
              </w:rPr>
              <w:t>》第</w:t>
            </w:r>
            <w:r>
              <w:rPr>
                <w:rFonts w:hint="default" w:ascii="Times New Roman" w:hAnsi="Times New Roman" w:eastAsia="仿宋" w:cs="Times New Roman"/>
                <w:sz w:val="21"/>
                <w:szCs w:val="21"/>
                <w:lang w:eastAsia="zh-CN"/>
              </w:rPr>
              <w:t>五十</w:t>
            </w:r>
            <w:r>
              <w:rPr>
                <w:rFonts w:hint="default" w:ascii="Times New Roman" w:hAnsi="Times New Roman" w:eastAsia="仿宋" w:cs="Times New Roman"/>
                <w:sz w:val="21"/>
                <w:szCs w:val="21"/>
              </w:rPr>
              <w:t>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对生产经营单位违反隐患排查治理相关规定的行政处罚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《中华人民共和国安全生产法》第九十四、九十八、九十九条</w:t>
            </w:r>
          </w:p>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《河南省安全生产条例》第五十五、五十九、六十一条</w:t>
            </w:r>
          </w:p>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《河南省安全生产风险管控与隐患治理办法》第二十七、二十八、二十九条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对生产经营单位未按照《生产安全事故应急预案管理办法》规定备案的行政处罚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《生产安全事故应急预案管理办法》第四十五条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对生产经营单位发生较大涉险事故迟报、漏报、谎报或者瞒报的行政处罚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《生产安全事故信息报告和处置办法》第二十五条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对生产经营单位未建立健全特种作业人员档案的行政处罚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《特种作业人员管理规定》第三十八条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对生产经营单位使用未取得特种作业操作证的特种作业人员上岗作业的行政处罚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《特种作业人员管理规定》第三十九条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对生产经营单位非法印制、伪造、倒卖特种作业操作证，或者使用非法印制、伪造、倒卖的特种作业操作证的行政处罚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《特种作业人员管理规定》第四十条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对特种作业人员伪造、涂改特种作业操作证或者使用伪造的特种作业操作证的行政处罚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《特种作业人员管理规定》第四十一条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对生产经营单位的生产区域、生活区域、储存区域之间的安全距离以及周边防护安全距离不符合国家标准或者行业标准的行政处罚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《河南省安全生产条例》第五十八条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spacing w:line="240" w:lineRule="atLeast"/>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spacing w:line="240" w:lineRule="atLeast"/>
              <w:jc w:val="center"/>
              <w:rPr>
                <w:rFonts w:hint="default" w:ascii="Times New Roman" w:hAnsi="Times New Roman" w:eastAsia="仿宋" w:cs="Times New Roman"/>
                <w:color w:val="000000"/>
                <w:kern w:val="0"/>
                <w:sz w:val="21"/>
                <w:szCs w:val="21"/>
                <w:lang w:eastAsia="zh-CN"/>
              </w:rPr>
            </w:pPr>
            <w:r>
              <w:rPr>
                <w:rFonts w:hint="default" w:ascii="Times New Roman" w:hAnsi="Times New Roman" w:eastAsia="仿宋" w:cs="Times New Roman"/>
                <w:color w:val="000000"/>
                <w:kern w:val="0"/>
                <w:sz w:val="21"/>
                <w:szCs w:val="21"/>
                <w:lang w:eastAsia="zh-CN"/>
              </w:rPr>
              <w:t>对生产经营危险化学品的单位未按规定对危险化学品登记注册或提供规范的化学品安全技术说明书和化学品安全标签的行政处罚</w:t>
            </w:r>
          </w:p>
          <w:p>
            <w:pPr>
              <w:spacing w:line="240" w:lineRule="atLeast"/>
              <w:jc w:val="center"/>
              <w:rPr>
                <w:rFonts w:hint="default" w:ascii="Times New Roman" w:hAnsi="Times New Roman" w:eastAsia="仿宋" w:cs="Times New Roman"/>
                <w:sz w:val="21"/>
                <w:szCs w:val="21"/>
              </w:rPr>
            </w:pPr>
          </w:p>
        </w:tc>
        <w:tc>
          <w:tcPr>
            <w:tcW w:w="1843" w:type="dxa"/>
            <w:vMerge w:val="restart"/>
            <w:vAlign w:val="center"/>
          </w:tcPr>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《危险化学品登记管理办法》第二十九条、第三十条</w:t>
            </w:r>
          </w:p>
          <w:p>
            <w:pPr>
              <w:spacing w:line="240" w:lineRule="atLeast"/>
              <w:jc w:val="center"/>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spacing w:line="240" w:lineRule="atLeast"/>
              <w:jc w:val="center"/>
              <w:rPr>
                <w:rFonts w:hint="default" w:ascii="Times New Roman" w:hAnsi="Times New Roman" w:eastAsia="仿宋" w:cs="Times New Roman"/>
                <w:sz w:val="21"/>
                <w:szCs w:val="21"/>
              </w:rPr>
            </w:pPr>
          </w:p>
        </w:tc>
        <w:tc>
          <w:tcPr>
            <w:tcW w:w="1276" w:type="dxa"/>
            <w:vMerge w:val="continue"/>
            <w:vAlign w:val="center"/>
          </w:tcPr>
          <w:p>
            <w:pPr>
              <w:spacing w:line="240" w:lineRule="atLeast"/>
              <w:jc w:val="center"/>
              <w:rPr>
                <w:rFonts w:hint="default" w:ascii="Times New Roman" w:hAnsi="Times New Roman" w:eastAsia="仿宋" w:cs="Times New Roman"/>
                <w:sz w:val="21"/>
                <w:szCs w:val="21"/>
              </w:rPr>
            </w:pPr>
          </w:p>
        </w:tc>
        <w:tc>
          <w:tcPr>
            <w:tcW w:w="1843" w:type="dxa"/>
            <w:vMerge w:val="continue"/>
            <w:vAlign w:val="center"/>
          </w:tcPr>
          <w:p>
            <w:pPr>
              <w:spacing w:line="240" w:lineRule="atLeast"/>
              <w:jc w:val="center"/>
              <w:rPr>
                <w:rFonts w:hint="default" w:ascii="Times New Roman" w:hAnsi="Times New Roman" w:eastAsia="仿宋" w:cs="Times New Roman"/>
                <w:sz w:val="21"/>
                <w:szCs w:val="21"/>
              </w:rPr>
            </w:pPr>
          </w:p>
        </w:tc>
        <w:tc>
          <w:tcPr>
            <w:tcW w:w="7738" w:type="dxa"/>
            <w:vAlign w:val="center"/>
          </w:tcPr>
          <w:p>
            <w:pPr>
              <w:spacing w:line="240" w:lineRule="atLeast"/>
              <w:jc w:val="left"/>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spacing w:line="240" w:lineRule="atLeast"/>
              <w:jc w:val="center"/>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Times New Roman" w:hAnsi="Times New Roman" w:cs="Times New Roman"/>
          <w:sz w:val="21"/>
          <w:szCs w:val="21"/>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对未按照本规定对有限空间作业进行辨识、提出防范措施、建立有限空间管理台账的；未按照本规定对有限空间的现场负责人、监护人员、作业人员和应急救援人员进行专项安全培训的行政处罚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《工贸企业有限空间作业安全管理与监督暂行规定》第二十九条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对未按照本规定对有限空间作业制定作业方案或者方案未经审批擅自作业的；有限空间作业未按照本规定进行危险有害因素检测或者监测，并实行专人监护作业的行政处罚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《工贸企业有限空间作业安全管理与监督暂行规定》第二十九条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对未教育和监督作业人员按照本规定正确佩戴与使用劳动防护用品的；未按照本规定对有限空间作业制定应急预案，配备必要的应急装备和器材，并定期进行演练的行政处罚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《工贸企业有限空间作业安全管理与监督暂行规定》第二十九条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对生产、经营、使用国家禁止生产、经营、使用的危险化学品的行政处罚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《危险化学品安全管理条例》第七十五条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对违反《安全生产许可证条例》规定，未取得危险化学品安全生产许可证从事危险化学品生产的行政处罚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《安全生产许可证条例》第十九条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对企业未取得危险化学品安全使用许可证擅自使用危险化学品从事生产的行政处罚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《危险化学品安全使用许可证实施办法》第三十七条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对未取得危险化学品经营许可证从事危险化学品经营的行政处罚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《危险化学品安全管理条例》第七十七条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对生产、储存危险化学品的单位未对其铺设的危险化学品管道设置明显的标志，或者未对危险化学品管道定期检查、检测的行政处罚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行政处罚</w:t>
            </w:r>
          </w:p>
        </w:tc>
        <w:tc>
          <w:tcPr>
            <w:tcW w:w="1843"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对危险化学品生产企业未提供化学品安全技术说明书，或者未在包装（包括外包装件）上粘贴、拴挂化学品安全标签的行政处罚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widowControl w:val="0"/>
        <w:wordWrap/>
        <w:adjustRightInd/>
        <w:snapToGrid/>
        <w:spacing w:before="0" w:after="0" w:line="460" w:lineRule="exact"/>
        <w:ind w:left="0" w:leftChars="0" w:right="0" w:firstLine="0" w:firstLineChars="0"/>
        <w:jc w:val="center"/>
        <w:textAlignment w:val="auto"/>
        <w:outlineLvl w:val="9"/>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817" w:type="dxa"/>
            <w:vMerge w:val="restart"/>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行政处罚</w:t>
            </w:r>
          </w:p>
        </w:tc>
        <w:tc>
          <w:tcPr>
            <w:tcW w:w="1843" w:type="dxa"/>
            <w:vMerge w:val="restart"/>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2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2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5"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对危险化学品生产企业发现其生产的危险化学品有新的危险特性不立即公告，或者不及时修订其化学品安全技术说明书和化学品安全标签的行政处罚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对危险化学品经营企业经营没有化学品安全技术说明书和化学品安全标签的危险化学品的行政处罚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对危险化学品包装物、容器的材质以及包装的型式、规格、方法和单件质量（重量）与所包装的危险化学品的性质和用途不相适应的行政处罚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对生产、储存危险化学品的单位未在作业场所和安全设施、设备上设置明显的安全警示标志，或者未在作业场所设置通信、报警装置的行政处罚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对危险化学品专用仓库未设专人负责管理，或者对储存的剧毒化学品以及储存数量构成重大危险源的其他危险化学品未实行双人收发、双人保管制度的行政处罚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对储存危险化学品的单位未建立危险化学品出入库核查、登记制度的；危险化学品专用仓库未设置明显标志的行政处罚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对危险化学品生产企业、进口企业不办理危险化学品登记，或者发现其生产、进口的危险化学品有新的危险特性不办理危险化学品登记内容变更手续的行政处罚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对重复使用的危险化学品包装物、容器，在重复使用前不进行检查的行政处罚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对未根据其生产、储存的危险化学品的种类和危险特性，在作业场所设置相关安全设施、设备，或者未按照国家标准、行业标准或者国家有关规定对安全设施、设备进行经常性维护、保养的行政处罚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对未依照</w:t>
            </w:r>
            <w:r>
              <w:rPr>
                <w:rFonts w:hint="default" w:ascii="Times New Roman" w:hAnsi="Times New Roman" w:eastAsia="仿宋" w:cs="Times New Roman"/>
                <w:sz w:val="21"/>
                <w:szCs w:val="21"/>
                <w:lang w:eastAsia="zh-CN"/>
              </w:rPr>
              <w:t>《危险化学品安全管理条例》</w:t>
            </w:r>
            <w:r>
              <w:rPr>
                <w:rFonts w:hint="default" w:ascii="Times New Roman" w:hAnsi="Times New Roman" w:eastAsia="仿宋" w:cs="Times New Roman"/>
                <w:color w:val="000000"/>
                <w:kern w:val="0"/>
                <w:sz w:val="21"/>
                <w:szCs w:val="21"/>
                <w:lang w:eastAsia="zh-CN"/>
              </w:rPr>
              <w:t>规定对其安全生产条件定期进行安全评价的行政处罚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对未将危险化学品储存在专用仓库内，或者未将剧毒化学品以及储存数量构成重大危险源的其他危险化学品在专用仓库内单独存放的行政处罚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对危险化学品的储存方式、方法或者储存数量不符合国家标准或者国家有关规定的；危险化学品专用仓库不符合国家标准、行业标准的要求的行政处罚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对未对危险化学品专用仓库的安全设施、设备定期进行检测、检验的行政处罚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对生产、储存、使用危险化学品的单位转产、停产、停业或者解散，未采取有效措施及时、妥善处置其危险化学品生产装置、储存设施以及库存的危险化学品，或者丢弃危险化学品的行政处罚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《危险化学品安全管理条例》第八十二条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对危险化学品生产企业、经营企业向不具有相关许可证件或者证明文件的单位销售剧毒化学品、易制爆危险化学品的行政处罚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《危险化学品安全管理条例》第八十二条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对不按照剧毒化学品购买许可证载明的品种、数量销售剧毒化学品的；向个人销售剧毒化学品（属于剧毒化学品的农药除外）、易制爆危险化学品的行政处罚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《危险化学品安全管理条例》第八十二条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对转让安全生产许可证的，接受转让的，冒用安全生产许可证或者使用伪造的安全生产许可证的行政处罚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《安全生产许可证条例》第二十一条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对违反《安全生产许可证条例》规定，安全生产许可证有效期满未办理延期手续，继续进行生产的行政处罚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《安全生产许可证条例》第二十条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对违反易制毒化学品安全管理规定和易制毒化学品的单位或者个人拒不接受监督检查的行政处罚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《易制毒化学品管理条例》第四十条、四十二条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对违反非药品类易制毒化学品生产经营、许可办法相关规定和生产、经营非药品类易制毒化学品的单位或个人拒不接受安全生产监督管理部门监督检查的行政处罚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《非药品类易制毒化学品生产经营、许可办法》第二十九条、三十条、三十一条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对危险化学品单位违反危险化学品重大危险源监督管理的行政处罚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《危险化学品重大危险源监督管理暂行规定》第三十三条、三十四条、三十五条、三十六条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对危险化学品生产企业取得安全生产许可证后发现其不具备《危险化学品生产企业安全生产许可证实施办法》规定的安全生产条件的行政处罚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《危险化学品生产企业安全生产许可证实施办法》第四十三条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对危险化学品生产企业出租、出借或者以其他形式转让安全生产许可证的行政处罚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《危险化学品生产企业安全生产许可证实施办法》第四十四条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对危险化学品生产企业未取得安全生产许可证，擅自进行危险化学品生产的；接受转让的安全生产许可证的；冒用或者使用伪造的安全生产许可证的行政处罚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《危险化学品生产企业安全生产许可证实施办法》第四十五条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对危险化学品生产企业在安全生产许可证有效期届满未办理延期手续，继续进行生产的行政处罚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《危险化学品生产企业安全生产许可证实施办法》第四十六条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对危险化学品生产企业在安全生产许可证有效期内，其危险化学品建设项目安全设施竣工验收合格后，未按规定的时限提出安全生产许可证变更申请并且擅自投入运行的行政处罚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《危险化学品生产企业安全生产许可证实施办法》第四十八条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30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生产企业在安全生产许可证有效期内主要负责人、企业名称、注册地址、隶属关系发生变更或者新增产品、改变工艺技术对企业安全生产产生重大影响，未按规定的时限提出安全生产许可证变更申请的行政处罚</w:t>
            </w:r>
          </w:p>
        </w:tc>
        <w:tc>
          <w:tcPr>
            <w:tcW w:w="1843"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《危险化学品生产企业安全生产许可证实施办法》第四十七条</w:t>
            </w:r>
          </w:p>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对新建、改建、扩建危险化学品管道建设项目未经安全条件审查行为的行政处罚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w:t>
            </w:r>
            <w:r>
              <w:rPr>
                <w:rFonts w:hint="eastAsia" w:ascii="Times New Roman" w:hAnsi="Times New Roman" w:eastAsia="仿宋" w:cs="Times New Roman"/>
                <w:sz w:val="21"/>
                <w:szCs w:val="21"/>
                <w:lang w:eastAsia="zh-CN"/>
              </w:rPr>
              <w:t>危险化学品输送管道安全管理规定</w:t>
            </w:r>
            <w:r>
              <w:rPr>
                <w:rFonts w:hint="default" w:ascii="Times New Roman" w:hAnsi="Times New Roman" w:eastAsia="仿宋" w:cs="Times New Roman"/>
                <w:sz w:val="21"/>
                <w:szCs w:val="21"/>
                <w:lang w:eastAsia="zh-CN"/>
              </w:rPr>
              <w:t>》第三十</w:t>
            </w:r>
            <w:r>
              <w:rPr>
                <w:rFonts w:hint="eastAsia" w:ascii="Times New Roman" w:hAnsi="Times New Roman" w:eastAsia="仿宋" w:cs="Times New Roman"/>
                <w:sz w:val="21"/>
                <w:szCs w:val="21"/>
                <w:lang w:eastAsia="zh-CN"/>
              </w:rPr>
              <w:t>三</w:t>
            </w:r>
            <w:r>
              <w:rPr>
                <w:rFonts w:hint="default" w:ascii="Times New Roman" w:hAnsi="Times New Roman" w:eastAsia="仿宋" w:cs="Times New Roman"/>
                <w:sz w:val="21"/>
                <w:szCs w:val="21"/>
                <w:lang w:eastAsia="zh-CN"/>
              </w:rPr>
              <w:t>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对违反危险化学品输送管道安全管理规定相关行为的行政处罚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《危险化学品安全管理条例》第七十八条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w:t>
            </w:r>
            <w:r>
              <w:rPr>
                <w:rFonts w:hint="eastAsia" w:ascii="Times New Roman" w:hAnsi="Times New Roman" w:eastAsia="仿宋" w:cs="Times New Roman"/>
                <w:sz w:val="21"/>
                <w:szCs w:val="21"/>
                <w:lang w:eastAsia="zh-CN"/>
              </w:rPr>
              <w:t>危险化学品输送管道安全管理规定</w:t>
            </w:r>
            <w:r>
              <w:rPr>
                <w:rFonts w:hint="default" w:ascii="Times New Roman" w:hAnsi="Times New Roman" w:eastAsia="仿宋" w:cs="Times New Roman"/>
                <w:sz w:val="21"/>
                <w:szCs w:val="21"/>
                <w:lang w:eastAsia="zh-CN"/>
              </w:rPr>
              <w:t>》第三十</w:t>
            </w:r>
            <w:r>
              <w:rPr>
                <w:rFonts w:hint="eastAsia" w:ascii="Times New Roman" w:hAnsi="Times New Roman" w:eastAsia="仿宋" w:cs="Times New Roman"/>
                <w:sz w:val="21"/>
                <w:szCs w:val="21"/>
                <w:lang w:eastAsia="zh-CN"/>
              </w:rPr>
              <w:t>五</w:t>
            </w:r>
            <w:r>
              <w:rPr>
                <w:rFonts w:hint="default" w:ascii="Times New Roman" w:hAnsi="Times New Roman" w:eastAsia="仿宋" w:cs="Times New Roman"/>
                <w:sz w:val="21"/>
                <w:szCs w:val="21"/>
                <w:lang w:eastAsia="zh-CN"/>
              </w:rPr>
              <w:t>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对转产、停产、停止使用的危险化学品管道，管道单位未采取有效措施及时、妥善处置的和未按规定将处置方案报县级以上安全生产监督管理部门的行政处罚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《危险化学品安全管理条例》第八十二条</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w:t>
            </w:r>
            <w:r>
              <w:rPr>
                <w:rFonts w:hint="eastAsia" w:ascii="Times New Roman" w:hAnsi="Times New Roman" w:eastAsia="仿宋" w:cs="Times New Roman"/>
                <w:sz w:val="21"/>
                <w:szCs w:val="21"/>
                <w:lang w:eastAsia="zh-CN"/>
              </w:rPr>
              <w:t>危险化学品输送管道安全管理规定</w:t>
            </w:r>
            <w:r>
              <w:rPr>
                <w:rFonts w:hint="default" w:ascii="Times New Roman" w:hAnsi="Times New Roman" w:eastAsia="仿宋" w:cs="Times New Roman"/>
                <w:sz w:val="21"/>
                <w:szCs w:val="21"/>
                <w:lang w:eastAsia="zh-CN"/>
              </w:rPr>
              <w:t>》第三十</w:t>
            </w:r>
            <w:r>
              <w:rPr>
                <w:rFonts w:hint="eastAsia" w:ascii="Times New Roman" w:hAnsi="Times New Roman" w:eastAsia="仿宋" w:cs="Times New Roman"/>
                <w:sz w:val="21"/>
                <w:szCs w:val="21"/>
                <w:lang w:eastAsia="zh-CN"/>
              </w:rPr>
              <w:t>六</w:t>
            </w:r>
            <w:r>
              <w:rPr>
                <w:rFonts w:hint="default" w:ascii="Times New Roman" w:hAnsi="Times New Roman" w:eastAsia="仿宋" w:cs="Times New Roman"/>
                <w:sz w:val="21"/>
                <w:szCs w:val="21"/>
                <w:lang w:eastAsia="zh-CN"/>
              </w:rPr>
              <w:t>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17" w:type="dxa"/>
            <w:vMerge w:val="restart"/>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未经安全条件审查或者安全条件审查未通过，新建、改建、扩建生产、储存危险化学品的建设项目的；建设项目发生《危险化学品建设项目安全监督管理办法》第十五条规定的变化后，未重新申请安全条件审查，以及审查未通过擅自建设的行政处罚</w:t>
            </w:r>
          </w:p>
        </w:tc>
        <w:tc>
          <w:tcPr>
            <w:tcW w:w="1843" w:type="dxa"/>
            <w:vMerge w:val="restart"/>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《危险化学品建设项目安全监督管理办法》第三十五条</w:t>
            </w:r>
          </w:p>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2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2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817"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2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20" w:lineRule="exact"/>
              <w:ind w:left="0" w:leftChars="0" w:right="0"/>
              <w:jc w:val="center"/>
              <w:textAlignment w:val="auto"/>
              <w:outlineLvl w:val="9"/>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危险化学品</w:t>
            </w:r>
            <w:r>
              <w:rPr>
                <w:rFonts w:hint="default" w:ascii="Times New Roman" w:hAnsi="Times New Roman" w:eastAsia="仿宋" w:cs="Times New Roman"/>
                <w:color w:val="000000"/>
                <w:kern w:val="0"/>
                <w:sz w:val="21"/>
                <w:szCs w:val="21"/>
                <w:lang w:eastAsia="zh-CN"/>
              </w:rPr>
              <w:t>建设项目安全设施设计未经审查或者审查未通过，擅自建设的；建设项目安全设施设计发生《危险化学品建设项目安全监督管理办法》第二十一条规定的情形之一，未经变更设计审查或者变更设计审查未通过，擅自建设的行政处罚</w:t>
            </w:r>
          </w:p>
        </w:tc>
        <w:tc>
          <w:tcPr>
            <w:tcW w:w="1843"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《危险化学品建设项目安全监督管理办法》第三十六条</w:t>
            </w:r>
          </w:p>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lang w:eastAsia="zh-CN"/>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7"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危险化学品</w:t>
            </w:r>
            <w:r>
              <w:rPr>
                <w:rFonts w:hint="default" w:ascii="Times New Roman" w:hAnsi="Times New Roman" w:eastAsia="仿宋" w:cs="Times New Roman"/>
                <w:color w:val="000000"/>
                <w:kern w:val="0"/>
                <w:sz w:val="21"/>
                <w:szCs w:val="21"/>
                <w:lang w:eastAsia="zh-CN"/>
              </w:rPr>
              <w:t>建设项目的施工单位未根据批准的安全设施设计施工的；建设项目安全设施未经竣工验收或者验收不合格，擅自投入生产（使用）的行政处罚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《危险化学品建设项目安全监督管理办法》第三十六条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对危险化学品建设项目安全设施竣工后未进行检验、检测的；在申请建设项目安全审查时提供虚假文件、资料的行政处罚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《危险化学品建设项目安全监督管理办法》第三十七条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危险化学品建设项目</w:t>
            </w:r>
            <w:r>
              <w:rPr>
                <w:rFonts w:hint="default" w:ascii="Times New Roman" w:hAnsi="Times New Roman" w:eastAsia="仿宋" w:cs="Times New Roman"/>
                <w:color w:val="000000"/>
                <w:kern w:val="0"/>
                <w:sz w:val="21"/>
                <w:szCs w:val="21"/>
                <w:lang w:eastAsia="zh-CN"/>
              </w:rPr>
              <w:t>未组织有关单位和专家研究提出试生产（使用）可能出现的安全问题及对策，或者未制定周密的试生产（使用）方案，进行试生产（使用）的行政处罚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《危险化学品建设项目安全监督管理办法》第三十七条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危险化学品建设项目未组织有关专家对试生产（使用）方案进行审查、对试生产（使用）条件进行检查确认</w:t>
            </w:r>
            <w:r>
              <w:rPr>
                <w:rFonts w:hint="default" w:ascii="Times New Roman" w:hAnsi="Times New Roman" w:eastAsia="仿宋" w:cs="Times New Roman"/>
                <w:color w:val="000000"/>
                <w:kern w:val="0"/>
                <w:sz w:val="21"/>
                <w:szCs w:val="21"/>
                <w:lang w:eastAsia="zh-CN"/>
              </w:rPr>
              <w:t>的行政处罚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《危险化学品建设项目安全监督管理办法》第三十七条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登记企业不办理危险化学品登记，登记品种发生变化或者发现其生产、进口的危险化学品有新的危险特性不办理危险化学品登记内容变更手续的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《危险化学品登记管理办法》第二十九条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未向用户提供应急咨询服务或者应急咨询服务不符合《危险化学品登记管理办法》第二十二条规定的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《危险化学品登记管理办法》第三十条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2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8" w:hRule="atLeast"/>
          <w:jc w:val="center"/>
        </w:trPr>
        <w:tc>
          <w:tcPr>
            <w:tcW w:w="817"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在危险化学品登记证有效期内企业名称、注册地址、应急咨询服务电话发生变化，未按规定按时办理危险化学品登记变更手续的；危险化学品登记证有效期满后，未按规定申请复核换证，继续进行生产或者进口的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《危险化学品登记管理办法》第三十条</w:t>
            </w: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转让、冒用或者使用伪造的危险化学品登记证，或者不如实填报登记内容、提交有关材料的；拒绝、阻挠登记机构对本企业危险化学品登记情况进行现场核查的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《危险化学品登记管理办法》第三十条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未取得经营许可证从事危险化学品经营的的或者在经营许可证有效期届满后，仍然从事危险化学品经营的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《危险化学品经营许可证管理办法》第二十九条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jc w:val="both"/>
        <w:rPr>
          <w:rFonts w:hint="default" w:ascii="方正小标宋简体" w:hAnsi="方正小标宋简体" w:eastAsia="方正小标宋简体" w:cs="方正小标宋简体"/>
          <w:sz w:val="44"/>
          <w:szCs w:val="44"/>
          <w:lang w:eastAsia="zh-CN"/>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带有储存设施的企业对重复使用的危险化学品包装物、容器，在重复使用前不进行检查的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《危险化学品经营许可证管理办法》第三十条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widowControl w:val="0"/>
        <w:wordWrap/>
        <w:adjustRightInd/>
        <w:snapToGrid/>
        <w:spacing w:before="0" w:after="0" w:line="460" w:lineRule="exact"/>
        <w:ind w:left="0" w:leftChars="0" w:right="0" w:firstLine="0" w:firstLineChars="0"/>
        <w:jc w:val="center"/>
        <w:textAlignment w:val="auto"/>
        <w:outlineLvl w:val="9"/>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带有储存设施的企业未根据其储存的危险化学品的种类和危险特性，在作业场所设置相关安全设施、设备，或者未按照国家标准、行业标准或者国家有关规定对安全设施、设备进行经常性维护、保养的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《危险化学品经营许可证管理办法》第三十条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带有储存设施的企业未将危险化学品储存在专用仓库内，或者未将剧毒化学品以及储存数量构成重大危险源的其他危险化学品在专用仓库内单独存放的；未对其安全生产条件定期进行安全评价的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《危险化学品经营许可证管理办法》第三十条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widowControl w:val="0"/>
        <w:wordWrap/>
        <w:adjustRightInd/>
        <w:snapToGrid/>
        <w:spacing w:before="0" w:after="0" w:line="440" w:lineRule="exact"/>
        <w:ind w:left="0" w:leftChars="0" w:right="0" w:firstLine="0" w:firstLineChars="0"/>
        <w:jc w:val="center"/>
        <w:textAlignment w:val="auto"/>
        <w:outlineLvl w:val="9"/>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817"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带有储存设施的企业危险化学品的储存方式、方法或者储存数量不符合国家标准或者国家有关规定的；危险化学品专用仓库不符合国家标准、行业标准的要求的；未对危险化学品专用仓库的安全设施、设备定期进行检测、检验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《危险化学品经营许可证管理办法》第三十条</w:t>
            </w: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伪造、变造或者出租、出借、转让经营许可证，或者使用伪造、变造的经营许可证的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《危险化学品经营许可证管理办法》第三十一条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已经取得经营许可证的企业不再具备法律、法规和本办法规定的安全生产条件的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《危险化学品经营许可证管理办法》第三十二条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已经取得经营许可证的企业出现《危险化学品经营许可证管理办法》第十四条、第十六条规定的情形之一，未依照《危险化学品经营许可证管理办法》的规定申请变更的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《危险化学品经营许可证管理办法》第三十三条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企业未取得安全使用许可证，擅自使用危险化学品从事生产，且达到危险化学品使用量的数量标准规定的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《危险化学品安全使用许可证实施办法》第三十七条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企业在安全使用许可证有效期届满后未办理延期手续，仍然使用危险化学品从事生产，且达到危险化学品使用量的数量标准规定的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《危险化学品安全使用许可证实施办法》第三十七条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企业伪造、变造或者出租、出借、转让安全使用许可证，或者使用伪造、变造的安全使用许可证的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《危险化学品安全使用许可证实施办法》第三十八条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危险化学品安全使用许可证未按规定变更的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《危险化学品安全使用许可证实施办法》第三十九条、第四十条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w:t>
            </w:r>
          </w:p>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类别</w:t>
            </w:r>
          </w:p>
        </w:tc>
        <w:tc>
          <w:tcPr>
            <w:tcW w:w="1276"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职权名称</w:t>
            </w:r>
          </w:p>
        </w:tc>
        <w:tc>
          <w:tcPr>
            <w:tcW w:w="184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实施依据</w:t>
            </w:r>
          </w:p>
        </w:tc>
        <w:tc>
          <w:tcPr>
            <w:tcW w:w="7738"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责任事项（岗位责任）</w:t>
            </w:r>
          </w:p>
        </w:tc>
        <w:tc>
          <w:tcPr>
            <w:tcW w:w="2893" w:type="dxa"/>
            <w:vAlign w:val="center"/>
          </w:tcPr>
          <w:p>
            <w:pPr>
              <w:spacing w:line="240" w:lineRule="atLeast"/>
              <w:jc w:val="center"/>
              <w:rPr>
                <w:rFonts w:hint="default" w:ascii="仿宋_GB2312" w:hAnsi="仿宋_GB2312" w:eastAsia="仿宋_GB2312" w:cs="仿宋_GB2312"/>
                <w:b/>
                <w:bCs/>
                <w:sz w:val="21"/>
                <w:szCs w:val="21"/>
              </w:rPr>
            </w:pPr>
            <w:r>
              <w:rPr>
                <w:rFonts w:hint="default" w:ascii="仿宋_GB2312" w:hAnsi="仿宋_GB2312" w:eastAsia="仿宋_GB2312" w:cs="仿宋_GB2312"/>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取得安全生产许可证的非煤矿矿山企业不再具备安全生产条件的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《非煤矿矿山企业安全生产许可证实施办法》第四十条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取得安全生产许可证的非煤矿矿山企业倒卖、出租、出借或者以其他形式非法转让安全生产许可证的；暂扣安全生产许可证后未按期整改或者整改后仍不具备安全生产条件的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《非煤矿矿山企业安全生产许可证实施办法》第四十一条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未取得安全生产许可证，擅自进行生产的；接受转让的安全生产许可证的；冒用安全生产许可证的；使用伪造的安全生产许可证的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《非煤矿矿山企业安全生产许可证实施办法》第四十二条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非煤矿矿山企业在安全生产许可证有效期内出现采矿许可证有效期届满和采矿许可证被暂扣、撤销、吊销、注销的情况，未依照规定向安全生产许可证颁发管理机关报告并交回安全生产许可证的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《非煤矿矿山企业安全生产许可证实施办法》第四十三条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非煤矿矿山企业在安全生产许可证有效期内，出现需要变更安全生产许可证的情形，未按《非煤矿矿山企业安全生产许可证实施办法》第二十一条的规定申请、办理变更手续的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《非煤矿矿山企业安全生产许可证实施办法》第四十四条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460" w:lineRule="exact"/>
        <w:ind w:left="0" w:leftChars="0" w:right="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濮阳市华龙区应急管理局</w:t>
      </w:r>
      <w:r>
        <w:rPr>
          <w:rFonts w:hint="eastAsia" w:ascii="方正小标宋简体" w:hAnsi="方正小标宋简体" w:eastAsia="方正小标宋简体" w:cs="方正小标宋简体"/>
          <w:sz w:val="44"/>
          <w:szCs w:val="44"/>
        </w:rPr>
        <w:t>行政执法权责清单、岗责体系</w:t>
      </w:r>
    </w:p>
    <w:p>
      <w:pPr>
        <w:widowControl w:val="0"/>
        <w:wordWrap/>
        <w:adjustRightInd/>
        <w:snapToGrid/>
        <w:spacing w:before="0" w:after="0" w:line="460" w:lineRule="exact"/>
        <w:ind w:left="0" w:leftChars="0" w:right="0" w:firstLine="0" w:firstLineChars="0"/>
        <w:jc w:val="center"/>
        <w:textAlignment w:val="auto"/>
        <w:outlineLvl w:val="9"/>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3" w:hRule="atLeast"/>
          <w:jc w:val="center"/>
        </w:trPr>
        <w:tc>
          <w:tcPr>
            <w:tcW w:w="817"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地质勘探单位、采掘施工单位在登记注册地以外进行跨省作业，以及跨省（自治区、直辖市）运营的石油天然气管道管理的单位，未按照《非煤矿矿山企业安全生产许可证实施办法》第二十六条的规定登记备案的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《非煤矿矿山企业安全生产许可证实施办法》第四十四条</w:t>
            </w: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4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0"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817"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4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4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非煤矿矿山企业在安全生产许可证有效期满未办理延期手续，继续进行生产的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《非煤矿矿山企业安全生产许可证实施办法》第四十五条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9"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w:t>
            </w:r>
            <w:r>
              <w:rPr>
                <w:rFonts w:hint="eastAsia" w:ascii="Times New Roman" w:hAnsi="Times New Roman" w:eastAsia="仿宋" w:cs="Times New Roman"/>
                <w:sz w:val="21"/>
                <w:szCs w:val="21"/>
                <w:lang w:eastAsia="zh-CN"/>
              </w:rPr>
              <w:t>外包工程发包单位违章指挥或者强令承包单位及其从业人员冒险作业</w:t>
            </w:r>
            <w:r>
              <w:rPr>
                <w:rFonts w:hint="default" w:ascii="Times New Roman" w:hAnsi="Times New Roman" w:eastAsia="仿宋" w:cs="Times New Roman"/>
                <w:sz w:val="21"/>
                <w:szCs w:val="21"/>
                <w:lang w:eastAsia="zh-CN"/>
              </w:rPr>
              <w:t>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《非煤矿山外包工程安全管理暂行办法》第</w:t>
            </w:r>
            <w:r>
              <w:rPr>
                <w:rFonts w:hint="eastAsia" w:ascii="Times New Roman" w:hAnsi="Times New Roman" w:eastAsia="仿宋" w:cs="Times New Roman"/>
                <w:sz w:val="21"/>
                <w:szCs w:val="21"/>
                <w:lang w:eastAsia="zh-CN"/>
              </w:rPr>
              <w:t>三十二</w:t>
            </w:r>
            <w:r>
              <w:rPr>
                <w:rFonts w:hint="default" w:ascii="Times New Roman" w:hAnsi="Times New Roman" w:eastAsia="仿宋" w:cs="Times New Roman"/>
                <w:sz w:val="21"/>
                <w:szCs w:val="21"/>
                <w:lang w:eastAsia="zh-CN"/>
              </w:rPr>
              <w:t>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2"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w:t>
            </w:r>
            <w:r>
              <w:rPr>
                <w:rFonts w:hint="eastAsia" w:ascii="Times New Roman" w:hAnsi="Times New Roman" w:eastAsia="仿宋" w:cs="Times New Roman"/>
                <w:sz w:val="21"/>
                <w:szCs w:val="21"/>
                <w:lang w:eastAsia="zh-CN"/>
              </w:rPr>
              <w:t>外包工程发包单位与承包单位、总承包单位与分项承包单位未依照本办法第八条规定签订安全生产管理协议的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《非煤矿山外包工程安全管理暂行办法》第</w:t>
            </w:r>
            <w:r>
              <w:rPr>
                <w:rFonts w:hint="eastAsia" w:ascii="Times New Roman" w:hAnsi="Times New Roman" w:eastAsia="仿宋" w:cs="Times New Roman"/>
                <w:sz w:val="21"/>
                <w:szCs w:val="21"/>
                <w:lang w:eastAsia="zh-CN"/>
              </w:rPr>
              <w:t>三十三</w:t>
            </w:r>
            <w:r>
              <w:rPr>
                <w:rFonts w:hint="default" w:ascii="Times New Roman" w:hAnsi="Times New Roman" w:eastAsia="仿宋" w:cs="Times New Roman"/>
                <w:sz w:val="21"/>
                <w:szCs w:val="21"/>
                <w:lang w:eastAsia="zh-CN"/>
              </w:rPr>
              <w:t>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w:t>
            </w:r>
            <w:r>
              <w:rPr>
                <w:rFonts w:hint="eastAsia" w:ascii="Times New Roman" w:hAnsi="Times New Roman" w:eastAsia="仿宋" w:cs="Times New Roman"/>
                <w:sz w:val="21"/>
                <w:szCs w:val="21"/>
                <w:lang w:eastAsia="zh-CN"/>
              </w:rPr>
              <w:t>外包工程发包单位违反《非煤矿山外包工程安全管理暂行办法》有关规定的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《非煤矿山外包工程安全管理暂行办法》第</w:t>
            </w:r>
            <w:r>
              <w:rPr>
                <w:rFonts w:hint="eastAsia" w:ascii="Times New Roman" w:hAnsi="Times New Roman" w:eastAsia="仿宋" w:cs="Times New Roman"/>
                <w:sz w:val="21"/>
                <w:szCs w:val="21"/>
                <w:lang w:eastAsia="zh-CN"/>
              </w:rPr>
              <w:t>三十二</w:t>
            </w:r>
            <w:r>
              <w:rPr>
                <w:rFonts w:hint="default" w:ascii="Times New Roman" w:hAnsi="Times New Roman" w:eastAsia="仿宋" w:cs="Times New Roman"/>
                <w:sz w:val="21"/>
                <w:szCs w:val="21"/>
                <w:lang w:eastAsia="zh-CN"/>
              </w:rPr>
              <w:t>条</w:t>
            </w:r>
            <w:r>
              <w:rPr>
                <w:rFonts w:hint="eastAsia" w:ascii="Times New Roman" w:hAnsi="Times New Roman" w:eastAsia="仿宋" w:cs="Times New Roman"/>
                <w:sz w:val="21"/>
                <w:szCs w:val="21"/>
                <w:lang w:eastAsia="zh-CN"/>
              </w:rPr>
              <w:t>、三十三条、三十四条、三十五条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w:t>
            </w:r>
            <w:r>
              <w:rPr>
                <w:rFonts w:hint="eastAsia" w:ascii="Times New Roman" w:hAnsi="Times New Roman" w:eastAsia="仿宋" w:cs="Times New Roman"/>
                <w:sz w:val="21"/>
                <w:szCs w:val="21"/>
                <w:lang w:eastAsia="zh-CN"/>
              </w:rPr>
              <w:t>外包工程承包单位将发包单位投入的安全资金挪作他用的或者承包单位未按照</w:t>
            </w:r>
            <w:r>
              <w:rPr>
                <w:rFonts w:hint="default" w:ascii="Times New Roman" w:hAnsi="Times New Roman" w:eastAsia="仿宋" w:cs="Times New Roman"/>
                <w:sz w:val="21"/>
                <w:szCs w:val="21"/>
                <w:lang w:eastAsia="zh-CN"/>
              </w:rPr>
              <w:t>《非煤矿山外包工程安全管理暂行办法》</w:t>
            </w:r>
            <w:r>
              <w:rPr>
                <w:rFonts w:hint="eastAsia" w:ascii="Times New Roman" w:hAnsi="Times New Roman" w:eastAsia="仿宋" w:cs="Times New Roman"/>
                <w:sz w:val="21"/>
                <w:szCs w:val="21"/>
                <w:lang w:eastAsia="zh-CN"/>
              </w:rPr>
              <w:t>第二十三条的规定排查治理事故隐患的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《非煤矿山外包工程安全管理暂行办法》第</w:t>
            </w:r>
            <w:r>
              <w:rPr>
                <w:rFonts w:hint="eastAsia" w:ascii="Times New Roman" w:hAnsi="Times New Roman" w:eastAsia="仿宋" w:cs="Times New Roman"/>
                <w:sz w:val="21"/>
                <w:szCs w:val="21"/>
                <w:lang w:eastAsia="zh-CN"/>
              </w:rPr>
              <w:t>三十七条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w:t>
            </w:r>
            <w:r>
              <w:rPr>
                <w:rFonts w:hint="eastAsia" w:ascii="Times New Roman" w:hAnsi="Times New Roman" w:eastAsia="仿宋" w:cs="Times New Roman"/>
                <w:sz w:val="21"/>
                <w:szCs w:val="21"/>
                <w:lang w:eastAsia="zh-CN"/>
              </w:rPr>
              <w:t>外包工程承包单位对项目部疏于管理，未定期对项目部人员进行安全生产教育培训与考核或者未对项目部进行安全生产检查的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《非煤矿山外包工程安全管理暂行办法》第</w:t>
            </w:r>
            <w:r>
              <w:rPr>
                <w:rFonts w:hint="eastAsia" w:ascii="Times New Roman" w:hAnsi="Times New Roman" w:eastAsia="仿宋" w:cs="Times New Roman"/>
                <w:sz w:val="21"/>
                <w:szCs w:val="21"/>
                <w:lang w:eastAsia="zh-CN"/>
              </w:rPr>
              <w:t>三十八条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widowControl w:val="0"/>
        <w:wordWrap/>
        <w:adjustRightInd/>
        <w:snapToGrid/>
        <w:spacing w:before="0" w:after="0" w:line="460" w:lineRule="exact"/>
        <w:ind w:left="0" w:leftChars="0" w:right="0" w:firstLine="0" w:firstLineChars="0"/>
        <w:jc w:val="center"/>
        <w:textAlignment w:val="auto"/>
        <w:outlineLvl w:val="9"/>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w:t>
            </w:r>
            <w:r>
              <w:rPr>
                <w:rFonts w:hint="eastAsia" w:ascii="Times New Roman" w:hAnsi="Times New Roman" w:eastAsia="仿宋" w:cs="Times New Roman"/>
                <w:sz w:val="21"/>
                <w:szCs w:val="21"/>
                <w:lang w:eastAsia="zh-CN"/>
              </w:rPr>
              <w:t>外包工程承包单位在登记注册的省、自治区、直辖市以外从事施工作业，未向作业所在地县级人民政府安全生产监督管理部门书面报告本单位取得有关许可和施工资质，以及所承包工程情况的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《非煤矿山外包工程安全管理暂行办法》第</w:t>
            </w:r>
            <w:r>
              <w:rPr>
                <w:rFonts w:hint="eastAsia" w:ascii="Times New Roman" w:hAnsi="Times New Roman" w:eastAsia="仿宋" w:cs="Times New Roman"/>
                <w:sz w:val="21"/>
                <w:szCs w:val="21"/>
                <w:lang w:eastAsia="zh-CN"/>
              </w:rPr>
              <w:t>三十九条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6"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非煤矿矿山</w:t>
            </w:r>
            <w:r>
              <w:rPr>
                <w:rFonts w:hint="eastAsia" w:ascii="Times New Roman" w:hAnsi="Times New Roman" w:eastAsia="仿宋" w:cs="Times New Roman"/>
                <w:sz w:val="21"/>
                <w:szCs w:val="21"/>
                <w:lang w:eastAsia="zh-CN"/>
              </w:rPr>
              <w:t>外包工程承包单位对项目部疏于管理，未定期对项目部人员进行安全生产教育培训与考核或者未对项目部进行安全生产检查的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《非煤矿山外包工程安全管理暂行办法》第</w:t>
            </w:r>
            <w:r>
              <w:rPr>
                <w:rFonts w:hint="eastAsia" w:ascii="Times New Roman" w:hAnsi="Times New Roman" w:eastAsia="仿宋" w:cs="Times New Roman"/>
                <w:sz w:val="21"/>
                <w:szCs w:val="21"/>
                <w:lang w:eastAsia="zh-CN"/>
              </w:rPr>
              <w:t>三十八条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8"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default" w:ascii="Times New Roman" w:hAnsi="Times New Roman" w:eastAsia="仿宋" w:cs="Times New Roman"/>
                <w:sz w:val="21"/>
                <w:szCs w:val="21"/>
                <w:lang w:eastAsia="zh-CN"/>
              </w:rPr>
              <w:t>未经注册擅自以注册安全工程师名义执业的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w:t>
            </w:r>
            <w:r>
              <w:rPr>
                <w:rFonts w:hint="eastAsia" w:ascii="Times New Roman" w:hAnsi="Times New Roman" w:eastAsia="仿宋" w:cs="Times New Roman"/>
                <w:sz w:val="21"/>
                <w:szCs w:val="21"/>
                <w:lang w:eastAsia="zh-CN"/>
              </w:rPr>
              <w:t>注册安全工程师管理规定</w:t>
            </w:r>
            <w:r>
              <w:rPr>
                <w:rFonts w:hint="default" w:ascii="Times New Roman" w:hAnsi="Times New Roman" w:eastAsia="仿宋" w:cs="Times New Roman"/>
                <w:sz w:val="21"/>
                <w:szCs w:val="21"/>
                <w:lang w:eastAsia="zh-CN"/>
              </w:rPr>
              <w:t>》第</w:t>
            </w:r>
            <w:r>
              <w:rPr>
                <w:rFonts w:hint="eastAsia" w:ascii="Times New Roman" w:hAnsi="Times New Roman" w:eastAsia="仿宋" w:cs="Times New Roman"/>
                <w:sz w:val="21"/>
                <w:szCs w:val="21"/>
                <w:lang w:eastAsia="zh-CN"/>
              </w:rPr>
              <w:t>三十条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eastAsia" w:ascii="Times New Roman" w:hAnsi="Times New Roman" w:eastAsia="仿宋" w:cs="Times New Roman"/>
                <w:color w:val="000000"/>
                <w:kern w:val="0"/>
                <w:sz w:val="21"/>
                <w:szCs w:val="21"/>
                <w:lang w:eastAsia="zh-CN"/>
              </w:rPr>
              <w:t>注册安全工程师</w:t>
            </w:r>
            <w:r>
              <w:rPr>
                <w:rFonts w:hint="default" w:ascii="Times New Roman" w:hAnsi="Times New Roman" w:eastAsia="仿宋" w:cs="Times New Roman"/>
                <w:sz w:val="21"/>
                <w:szCs w:val="21"/>
                <w:lang w:eastAsia="zh-CN"/>
              </w:rPr>
              <w:t>准许他人以本人名义执业的；以个人名义承接业务、收取费用的；出租、出借、涂改、变造执业证和执业印章的；泄漏执业过程中应当保守的秘密并造成严重后果的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w:t>
            </w:r>
            <w:r>
              <w:rPr>
                <w:rFonts w:hint="eastAsia" w:ascii="Times New Roman" w:hAnsi="Times New Roman" w:eastAsia="仿宋" w:cs="Times New Roman"/>
                <w:sz w:val="21"/>
                <w:szCs w:val="21"/>
                <w:lang w:eastAsia="zh-CN"/>
              </w:rPr>
              <w:t>注册安全工程师管理规定</w:t>
            </w:r>
            <w:r>
              <w:rPr>
                <w:rFonts w:hint="default" w:ascii="Times New Roman" w:hAnsi="Times New Roman" w:eastAsia="仿宋" w:cs="Times New Roman"/>
                <w:sz w:val="21"/>
                <w:szCs w:val="21"/>
                <w:lang w:eastAsia="zh-CN"/>
              </w:rPr>
              <w:t>》第</w:t>
            </w:r>
            <w:r>
              <w:rPr>
                <w:rFonts w:hint="eastAsia" w:ascii="Times New Roman" w:hAnsi="Times New Roman" w:eastAsia="仿宋" w:cs="Times New Roman"/>
                <w:sz w:val="21"/>
                <w:szCs w:val="21"/>
                <w:lang w:eastAsia="zh-CN"/>
              </w:rPr>
              <w:t>三十二条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p>
    <w:p>
      <w:pPr>
        <w:widowControl w:val="0"/>
        <w:wordWrap/>
        <w:adjustRightInd/>
        <w:snapToGrid/>
        <w:spacing w:before="0" w:after="0" w:line="460" w:lineRule="exact"/>
        <w:ind w:left="0" w:leftChars="0" w:right="0" w:firstLine="0" w:firstLineChars="0"/>
        <w:jc w:val="center"/>
        <w:textAlignment w:val="auto"/>
        <w:outlineLvl w:val="9"/>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sz w:val="21"/>
          <w:szCs w:val="21"/>
        </w:rPr>
      </w:pPr>
      <w:r>
        <w:rPr>
          <w:rFonts w:hint="default" w:ascii="Times New Roman" w:hAnsi="Times New Roman" w:eastAsia="楷体" w:cs="Times New Roman"/>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行政处罚类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kern w:val="0"/>
                <w:sz w:val="21"/>
                <w:szCs w:val="21"/>
                <w:lang w:eastAsia="zh-CN"/>
              </w:rPr>
              <w:t>对</w:t>
            </w:r>
            <w:r>
              <w:rPr>
                <w:rFonts w:hint="eastAsia" w:ascii="Times New Roman" w:hAnsi="Times New Roman" w:eastAsia="仿宋" w:cs="Times New Roman"/>
                <w:color w:val="000000"/>
                <w:kern w:val="0"/>
                <w:sz w:val="21"/>
                <w:szCs w:val="21"/>
                <w:lang w:eastAsia="zh-CN"/>
              </w:rPr>
              <w:t>注册安全工程师以欺骗、贿赂等不正当手段取得执业证的</w:t>
            </w:r>
            <w:r>
              <w:rPr>
                <w:rFonts w:hint="default" w:ascii="Times New Roman" w:hAnsi="Times New Roman" w:eastAsia="仿宋" w:cs="Times New Roman"/>
                <w:color w:val="000000"/>
                <w:kern w:val="0"/>
                <w:sz w:val="21"/>
                <w:szCs w:val="21"/>
                <w:lang w:eastAsia="zh-CN"/>
              </w:rPr>
              <w:t>行政处罚</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w:t>
            </w:r>
            <w:r>
              <w:rPr>
                <w:rFonts w:hint="eastAsia" w:ascii="Times New Roman" w:hAnsi="Times New Roman" w:eastAsia="仿宋" w:cs="Times New Roman"/>
                <w:sz w:val="21"/>
                <w:szCs w:val="21"/>
                <w:lang w:eastAsia="zh-CN"/>
              </w:rPr>
              <w:t>注册安全工程师管理规定</w:t>
            </w:r>
            <w:r>
              <w:rPr>
                <w:rFonts w:hint="default" w:ascii="Times New Roman" w:hAnsi="Times New Roman" w:eastAsia="仿宋" w:cs="Times New Roman"/>
                <w:sz w:val="21"/>
                <w:szCs w:val="21"/>
                <w:lang w:eastAsia="zh-CN"/>
              </w:rPr>
              <w:t>》第</w:t>
            </w:r>
            <w:r>
              <w:rPr>
                <w:rFonts w:hint="eastAsia" w:ascii="Times New Roman" w:hAnsi="Times New Roman" w:eastAsia="仿宋" w:cs="Times New Roman"/>
                <w:sz w:val="21"/>
                <w:szCs w:val="21"/>
                <w:lang w:eastAsia="zh-CN"/>
              </w:rPr>
              <w:t>三十一条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6、送达责任（送达岗）：7日内，依法将行政处罚决定书送达当事人。</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default" w:ascii="Times New Roman" w:hAnsi="Times New Roman" w:eastAsia="仿宋" w:cs="Times New Roman"/>
                <w:sz w:val="21"/>
                <w:szCs w:val="21"/>
              </w:rPr>
            </w:pPr>
            <w:r>
              <w:rPr>
                <w:rFonts w:hint="default" w:ascii="Times New Roman" w:hAnsi="Times New Roman" w:eastAsia="仿宋" w:cs="Times New Roman"/>
                <w:sz w:val="21"/>
                <w:szCs w:val="21"/>
              </w:rPr>
              <w:t>8、法律、法规、规章规定的其他应履行的责任事项。</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tbl>
      <w:tblPr>
        <w:tblStyle w:val="5"/>
        <w:tblpPr w:leftFromText="180" w:rightFromText="180" w:vertAnchor="text" w:horzAnchor="page" w:tblpX="1483" w:tblpY="1472"/>
        <w:tblOverlap w:val="never"/>
        <w:tblW w:w="14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817" w:type="dxa"/>
            <w:vMerge w:val="restart"/>
            <w:vAlign w:val="center"/>
          </w:tcPr>
          <w:p>
            <w:pPr>
              <w:spacing w:line="240" w:lineRule="atLeast"/>
              <w:jc w:val="center"/>
              <w:rPr>
                <w:rFonts w:hint="eastAsia" w:ascii="仿宋" w:hAnsi="仿宋" w:eastAsia="仿宋"/>
                <w:sz w:val="21"/>
                <w:szCs w:val="21"/>
                <w:highlight w:val="none"/>
              </w:rPr>
            </w:pPr>
            <w:r>
              <w:rPr>
                <w:rFonts w:hint="eastAsia" w:ascii="仿宋" w:hAnsi="仿宋" w:eastAsia="仿宋"/>
                <w:sz w:val="21"/>
                <w:szCs w:val="21"/>
                <w:highlight w:val="none"/>
              </w:rPr>
              <w:t>行政处罚类</w:t>
            </w:r>
          </w:p>
          <w:p>
            <w:pPr>
              <w:spacing w:line="240" w:lineRule="atLeast"/>
              <w:jc w:val="center"/>
              <w:rPr>
                <w:rFonts w:hint="default" w:ascii="仿宋" w:hAnsi="仿宋" w:eastAsia="仿宋"/>
                <w:sz w:val="21"/>
                <w:szCs w:val="21"/>
                <w:highlight w:val="none"/>
                <w:lang w:val="en-US" w:eastAsia="zh-CN"/>
              </w:rPr>
            </w:pPr>
            <w:r>
              <w:rPr>
                <w:rFonts w:hint="eastAsia" w:ascii="仿宋" w:hAnsi="仿宋" w:eastAsia="仿宋"/>
                <w:sz w:val="21"/>
                <w:szCs w:val="21"/>
                <w:highlight w:val="none"/>
                <w:lang w:val="en-US" w:eastAsia="zh-CN"/>
              </w:rPr>
              <w:t>95条</w:t>
            </w:r>
          </w:p>
        </w:tc>
        <w:tc>
          <w:tcPr>
            <w:tcW w:w="1276" w:type="dxa"/>
            <w:vMerge w:val="restart"/>
            <w:vAlign w:val="center"/>
          </w:tcPr>
          <w:p>
            <w:pPr>
              <w:spacing w:line="240" w:lineRule="atLeast"/>
              <w:jc w:val="center"/>
              <w:rPr>
                <w:rFonts w:ascii="仿宋" w:hAnsi="仿宋" w:eastAsia="仿宋"/>
                <w:sz w:val="21"/>
                <w:szCs w:val="21"/>
                <w:highlight w:val="none"/>
              </w:rPr>
            </w:pPr>
            <w:r>
              <w:rPr>
                <w:rFonts w:hint="eastAsia" w:ascii="仿宋" w:hAnsi="仿宋" w:eastAsia="仿宋"/>
                <w:sz w:val="21"/>
                <w:szCs w:val="21"/>
                <w:highlight w:val="none"/>
              </w:rPr>
              <w:t>对</w:t>
            </w:r>
            <w:r>
              <w:rPr>
                <w:rFonts w:ascii="仿宋" w:hAnsi="仿宋" w:eastAsia="仿宋" w:cs="Arial"/>
                <w:color w:val="333333"/>
                <w:sz w:val="21"/>
                <w:szCs w:val="21"/>
                <w:highlight w:val="none"/>
                <w:shd w:val="clear" w:color="auto" w:fill="FFFFFF"/>
              </w:rPr>
              <w:t>承担安全评价、认证、检测、检验工作的机构，出具虚假证明</w:t>
            </w:r>
            <w:r>
              <w:rPr>
                <w:rFonts w:hint="eastAsia" w:ascii="仿宋" w:hAnsi="仿宋" w:eastAsia="仿宋"/>
                <w:sz w:val="21"/>
                <w:szCs w:val="21"/>
                <w:highlight w:val="none"/>
              </w:rPr>
              <w:t>的行政处罚</w:t>
            </w:r>
          </w:p>
        </w:tc>
        <w:tc>
          <w:tcPr>
            <w:tcW w:w="1843" w:type="dxa"/>
            <w:vMerge w:val="restart"/>
            <w:vAlign w:val="center"/>
          </w:tcPr>
          <w:p>
            <w:pPr>
              <w:spacing w:line="240" w:lineRule="atLeast"/>
              <w:jc w:val="center"/>
              <w:rPr>
                <w:rFonts w:ascii="仿宋" w:hAnsi="仿宋" w:eastAsia="仿宋"/>
                <w:sz w:val="21"/>
                <w:szCs w:val="21"/>
              </w:rPr>
            </w:pPr>
            <w:r>
              <w:rPr>
                <w:rFonts w:hint="eastAsia" w:ascii="仿宋" w:hAnsi="仿宋" w:eastAsia="仿宋" w:cs="Arial"/>
                <w:color w:val="333333"/>
                <w:sz w:val="21"/>
                <w:szCs w:val="21"/>
                <w:shd w:val="clear" w:color="auto" w:fill="FFFFFF"/>
              </w:rPr>
              <w:t>《中华人民共和国安全生产法》</w:t>
            </w:r>
            <w:r>
              <w:rPr>
                <w:rFonts w:ascii="仿宋" w:hAnsi="仿宋" w:eastAsia="仿宋" w:cs="Arial"/>
                <w:color w:val="333333"/>
                <w:sz w:val="21"/>
                <w:szCs w:val="21"/>
                <w:shd w:val="clear" w:color="auto" w:fill="FFFFFF"/>
              </w:rPr>
              <w:t>第八十九条</w:t>
            </w:r>
            <w:r>
              <w:rPr>
                <w:rFonts w:hint="eastAsia" w:ascii="仿宋" w:hAnsi="仿宋" w:eastAsia="仿宋" w:cs="Arial"/>
                <w:color w:val="333333"/>
                <w:sz w:val="21"/>
                <w:szCs w:val="21"/>
                <w:shd w:val="clear" w:color="auto" w:fill="FFFFFF"/>
              </w:rPr>
              <w:t>；</w:t>
            </w:r>
            <w:r>
              <w:rPr>
                <w:rFonts w:hint="eastAsia" w:ascii="仿宋" w:hAnsi="仿宋" w:eastAsia="仿宋"/>
                <w:sz w:val="21"/>
                <w:szCs w:val="21"/>
              </w:rPr>
              <w:t>《安全评价检测检验机构管理办法》第三十一条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rFonts w:ascii="仿宋" w:hAnsi="仿宋" w:eastAsia="仿宋"/>
                <w:sz w:val="21"/>
                <w:szCs w:val="21"/>
              </w:rPr>
            </w:pPr>
          </w:p>
        </w:tc>
      </w:tr>
    </w:tbl>
    <w:p>
      <w:pPr>
        <w:jc w:val="center"/>
        <w:rPr>
          <w:sz w:val="44"/>
          <w:szCs w:val="44"/>
        </w:rPr>
      </w:pPr>
      <w:r>
        <w:rPr>
          <w:rFonts w:hint="eastAsia" w:ascii="方正小标宋简体" w:hAnsi="方正小标宋简体" w:eastAsia="方正小标宋简体" w:cs="方正小标宋简体"/>
          <w:sz w:val="44"/>
          <w:szCs w:val="44"/>
          <w:lang w:eastAsia="zh-CN"/>
        </w:rPr>
        <w:t>濮阳市华龙区应急管理局</w:t>
      </w:r>
      <w:r>
        <w:rPr>
          <w:rFonts w:hint="eastAsia" w:ascii="方正小标宋简体" w:hAnsi="方正小标宋简体" w:eastAsia="方正小标宋简体" w:cs="方正小标宋简体"/>
          <w:sz w:val="44"/>
          <w:szCs w:val="44"/>
        </w:rPr>
        <w:t>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仿宋" w:hAnsi="仿宋" w:eastAsia="仿宋"/>
                <w:sz w:val="21"/>
                <w:szCs w:val="21"/>
                <w:lang w:val="en-US" w:eastAsia="zh-CN"/>
              </w:rPr>
            </w:pPr>
            <w:r>
              <w:rPr>
                <w:rFonts w:hint="eastAsia" w:ascii="仿宋" w:hAnsi="仿宋" w:eastAsia="仿宋"/>
                <w:sz w:val="21"/>
                <w:szCs w:val="21"/>
              </w:rPr>
              <w:t>行政处罚类</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对未取得资质的机构及其有关人员擅自从事安全评价、检测检验服务的行政处罚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《安全评价检测检验机构管理办法》第二十九条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both"/>
        <w:rPr>
          <w:sz w:val="21"/>
          <w:szCs w:val="21"/>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濮阳市华龙区应急管理局</w:t>
      </w:r>
      <w:r>
        <w:rPr>
          <w:rFonts w:hint="eastAsia" w:ascii="方正小标宋简体" w:hAnsi="方正小标宋简体" w:eastAsia="方正小标宋简体" w:cs="方正小标宋简体"/>
          <w:sz w:val="44"/>
          <w:szCs w:val="44"/>
        </w:rPr>
        <w:t>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jc w:val="center"/>
        </w:trPr>
        <w:tc>
          <w:tcPr>
            <w:tcW w:w="817" w:type="dxa"/>
            <w:vMerge w:val="restart"/>
            <w:vAlign w:val="center"/>
          </w:tcPr>
          <w:p>
            <w:pPr>
              <w:spacing w:line="240" w:lineRule="atLeast"/>
              <w:jc w:val="center"/>
              <w:rPr>
                <w:rFonts w:hint="default" w:ascii="仿宋" w:hAnsi="仿宋" w:eastAsia="仿宋"/>
                <w:sz w:val="21"/>
                <w:szCs w:val="21"/>
                <w:lang w:val="en-US" w:eastAsia="zh-CN"/>
              </w:rPr>
            </w:pPr>
            <w:r>
              <w:rPr>
                <w:rFonts w:hint="eastAsia" w:ascii="仿宋" w:hAnsi="仿宋" w:eastAsia="仿宋"/>
                <w:sz w:val="21"/>
                <w:szCs w:val="21"/>
              </w:rPr>
              <w:t>行政处罚类</w:t>
            </w:r>
            <w:r>
              <w:rPr>
                <w:rFonts w:hint="eastAsia" w:ascii="仿宋" w:hAnsi="仿宋" w:eastAsia="仿宋"/>
                <w:sz w:val="21"/>
                <w:szCs w:val="21"/>
                <w:lang w:val="en-US" w:eastAsia="zh-CN"/>
              </w:rPr>
              <w:t>100条</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安全评价检测检验机构未依法与委托方签订技术服务合同的</w:t>
            </w:r>
            <w:r>
              <w:rPr>
                <w:rFonts w:hint="eastAsia" w:ascii="仿宋" w:hAnsi="仿宋" w:eastAsia="仿宋"/>
                <w:sz w:val="21"/>
                <w:szCs w:val="21"/>
              </w:rPr>
              <w:t>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仿宋" w:hAnsi="仿宋" w:eastAsia="仿宋"/>
                <w:sz w:val="21"/>
                <w:szCs w:val="21"/>
                <w:lang w:val="en-US" w:eastAsia="zh-CN"/>
              </w:rPr>
            </w:pPr>
            <w:r>
              <w:rPr>
                <w:rFonts w:hint="eastAsia" w:ascii="仿宋" w:hAnsi="仿宋" w:eastAsia="仿宋"/>
                <w:sz w:val="21"/>
                <w:szCs w:val="21"/>
              </w:rPr>
              <w:t>行政处罚类</w:t>
            </w:r>
            <w:r>
              <w:rPr>
                <w:rFonts w:hint="eastAsia" w:ascii="仿宋" w:hAnsi="仿宋" w:eastAsia="仿宋"/>
                <w:sz w:val="21"/>
                <w:szCs w:val="21"/>
                <w:lang w:val="en-US" w:eastAsia="zh-CN"/>
              </w:rPr>
              <w:t>101条</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安全评价检测检验机构违反法规标准规定更改或者简化安全评价、检测检验程序和相关内容的</w:t>
            </w:r>
            <w:r>
              <w:rPr>
                <w:rFonts w:hint="eastAsia" w:ascii="仿宋" w:hAnsi="仿宋" w:eastAsia="仿宋"/>
                <w:sz w:val="21"/>
                <w:szCs w:val="21"/>
              </w:rPr>
              <w:t>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仿宋" w:hAnsi="仿宋" w:eastAsia="仿宋"/>
                <w:sz w:val="21"/>
                <w:szCs w:val="21"/>
                <w:lang w:val="en-US" w:eastAsia="zh-CN"/>
              </w:rPr>
            </w:pPr>
            <w:r>
              <w:rPr>
                <w:rFonts w:hint="eastAsia" w:ascii="仿宋" w:hAnsi="仿宋" w:eastAsia="仿宋"/>
                <w:sz w:val="21"/>
                <w:szCs w:val="21"/>
              </w:rPr>
              <w:t>行政处罚类</w:t>
            </w:r>
            <w:r>
              <w:rPr>
                <w:rFonts w:hint="eastAsia" w:ascii="仿宋" w:hAnsi="仿宋" w:eastAsia="仿宋"/>
                <w:sz w:val="21"/>
                <w:szCs w:val="21"/>
                <w:lang w:val="en-US" w:eastAsia="zh-CN"/>
              </w:rPr>
              <w:t>102条</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安全评价检测检验机构未按规定公开安全评价报告、安全生产检测检验报告相关信息及现场勘验图像影像资料的</w:t>
            </w:r>
            <w:r>
              <w:rPr>
                <w:rFonts w:hint="eastAsia" w:ascii="仿宋" w:hAnsi="仿宋" w:eastAsia="仿宋"/>
                <w:sz w:val="21"/>
                <w:szCs w:val="21"/>
              </w:rPr>
              <w:t>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仿宋" w:hAnsi="仿宋" w:eastAsia="仿宋"/>
                <w:sz w:val="21"/>
                <w:szCs w:val="21"/>
                <w:lang w:val="en-US" w:eastAsia="zh-CN"/>
              </w:rPr>
            </w:pPr>
            <w:r>
              <w:rPr>
                <w:rFonts w:hint="eastAsia" w:ascii="仿宋" w:hAnsi="仿宋" w:eastAsia="仿宋"/>
                <w:sz w:val="21"/>
                <w:szCs w:val="21"/>
              </w:rPr>
              <w:t>行政处罚类</w:t>
            </w:r>
            <w:r>
              <w:rPr>
                <w:rFonts w:hint="eastAsia" w:ascii="仿宋" w:hAnsi="仿宋" w:eastAsia="仿宋"/>
                <w:sz w:val="21"/>
                <w:szCs w:val="21"/>
                <w:lang w:val="en-US" w:eastAsia="zh-CN"/>
              </w:rPr>
              <w:t>103条</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安全评价检测检验机构未在开展现场技术服务前七个工作日内，书面告知项目实施地资质认可机关的</w:t>
            </w:r>
            <w:r>
              <w:rPr>
                <w:rFonts w:hint="eastAsia" w:ascii="仿宋" w:hAnsi="仿宋" w:eastAsia="仿宋"/>
                <w:sz w:val="21"/>
                <w:szCs w:val="21"/>
              </w:rPr>
              <w:t>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73"/>
        <w:gridCol w:w="1646"/>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47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64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仿宋" w:hAnsi="仿宋" w:eastAsia="仿宋"/>
                <w:sz w:val="21"/>
                <w:szCs w:val="21"/>
                <w:lang w:val="en-US" w:eastAsia="zh-CN"/>
              </w:rPr>
            </w:pPr>
            <w:r>
              <w:rPr>
                <w:rFonts w:hint="eastAsia" w:ascii="仿宋" w:hAnsi="仿宋" w:eastAsia="仿宋"/>
                <w:sz w:val="21"/>
                <w:szCs w:val="21"/>
              </w:rPr>
              <w:t>行政处罚类</w:t>
            </w:r>
            <w:r>
              <w:rPr>
                <w:rFonts w:hint="eastAsia" w:ascii="仿宋" w:hAnsi="仿宋" w:eastAsia="仿宋"/>
                <w:sz w:val="21"/>
                <w:szCs w:val="21"/>
                <w:lang w:val="en-US" w:eastAsia="zh-CN"/>
              </w:rPr>
              <w:t>104条</w:t>
            </w:r>
          </w:p>
        </w:tc>
        <w:tc>
          <w:tcPr>
            <w:tcW w:w="1473"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安全评价检测检验机构机构名称、注册地址、实验室条件、法定代表人、专职技术负责人、授权签字人发生变化之日起三十日内未向原资质认可机关提出变更申请的</w:t>
            </w:r>
            <w:r>
              <w:rPr>
                <w:rFonts w:hint="eastAsia" w:ascii="仿宋" w:hAnsi="仿宋" w:eastAsia="仿宋"/>
                <w:sz w:val="21"/>
                <w:szCs w:val="21"/>
              </w:rPr>
              <w:t>行政处罚</w:t>
            </w:r>
          </w:p>
        </w:tc>
        <w:tc>
          <w:tcPr>
            <w:tcW w:w="1646"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473" w:type="dxa"/>
            <w:vMerge w:val="continue"/>
            <w:vAlign w:val="center"/>
          </w:tcPr>
          <w:p>
            <w:pPr>
              <w:spacing w:line="240" w:lineRule="atLeast"/>
              <w:jc w:val="center"/>
              <w:rPr>
                <w:sz w:val="21"/>
                <w:szCs w:val="21"/>
              </w:rPr>
            </w:pPr>
          </w:p>
        </w:tc>
        <w:tc>
          <w:tcPr>
            <w:tcW w:w="1646"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473" w:type="dxa"/>
            <w:vMerge w:val="continue"/>
            <w:vAlign w:val="center"/>
          </w:tcPr>
          <w:p>
            <w:pPr>
              <w:spacing w:line="240" w:lineRule="atLeast"/>
              <w:jc w:val="center"/>
              <w:rPr>
                <w:sz w:val="21"/>
                <w:szCs w:val="21"/>
              </w:rPr>
            </w:pPr>
          </w:p>
        </w:tc>
        <w:tc>
          <w:tcPr>
            <w:tcW w:w="1646"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473" w:type="dxa"/>
            <w:vMerge w:val="continue"/>
            <w:vAlign w:val="center"/>
          </w:tcPr>
          <w:p>
            <w:pPr>
              <w:spacing w:line="240" w:lineRule="atLeast"/>
              <w:jc w:val="center"/>
              <w:rPr>
                <w:sz w:val="21"/>
                <w:szCs w:val="21"/>
              </w:rPr>
            </w:pPr>
          </w:p>
        </w:tc>
        <w:tc>
          <w:tcPr>
            <w:tcW w:w="1646"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473" w:type="dxa"/>
            <w:vMerge w:val="continue"/>
            <w:vAlign w:val="center"/>
          </w:tcPr>
          <w:p>
            <w:pPr>
              <w:spacing w:line="240" w:lineRule="atLeast"/>
              <w:jc w:val="center"/>
              <w:rPr>
                <w:sz w:val="21"/>
                <w:szCs w:val="21"/>
              </w:rPr>
            </w:pPr>
          </w:p>
        </w:tc>
        <w:tc>
          <w:tcPr>
            <w:tcW w:w="1646"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473" w:type="dxa"/>
            <w:vMerge w:val="continue"/>
            <w:vAlign w:val="center"/>
          </w:tcPr>
          <w:p>
            <w:pPr>
              <w:spacing w:line="240" w:lineRule="atLeast"/>
              <w:jc w:val="center"/>
              <w:rPr>
                <w:sz w:val="21"/>
                <w:szCs w:val="21"/>
              </w:rPr>
            </w:pPr>
          </w:p>
        </w:tc>
        <w:tc>
          <w:tcPr>
            <w:tcW w:w="1646"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473" w:type="dxa"/>
            <w:vMerge w:val="continue"/>
            <w:vAlign w:val="center"/>
          </w:tcPr>
          <w:p>
            <w:pPr>
              <w:spacing w:line="240" w:lineRule="atLeast"/>
              <w:jc w:val="center"/>
              <w:rPr>
                <w:sz w:val="21"/>
                <w:szCs w:val="21"/>
              </w:rPr>
            </w:pPr>
          </w:p>
        </w:tc>
        <w:tc>
          <w:tcPr>
            <w:tcW w:w="1646"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473" w:type="dxa"/>
            <w:vMerge w:val="continue"/>
            <w:vAlign w:val="center"/>
          </w:tcPr>
          <w:p>
            <w:pPr>
              <w:spacing w:line="240" w:lineRule="atLeast"/>
              <w:jc w:val="center"/>
              <w:rPr>
                <w:sz w:val="21"/>
                <w:szCs w:val="21"/>
              </w:rPr>
            </w:pPr>
          </w:p>
        </w:tc>
        <w:tc>
          <w:tcPr>
            <w:tcW w:w="1646"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default" w:ascii="仿宋" w:hAnsi="仿宋" w:eastAsia="仿宋"/>
                <w:sz w:val="21"/>
                <w:szCs w:val="21"/>
                <w:lang w:val="en-US" w:eastAsia="zh-CN"/>
              </w:rPr>
            </w:pPr>
            <w:r>
              <w:rPr>
                <w:rFonts w:hint="eastAsia" w:ascii="仿宋" w:hAnsi="仿宋" w:eastAsia="仿宋"/>
                <w:sz w:val="21"/>
                <w:szCs w:val="21"/>
              </w:rPr>
              <w:t>行政处罚类</w:t>
            </w:r>
            <w:r>
              <w:rPr>
                <w:rFonts w:hint="eastAsia" w:ascii="仿宋" w:hAnsi="仿宋" w:eastAsia="仿宋"/>
                <w:sz w:val="21"/>
                <w:szCs w:val="21"/>
                <w:lang w:val="en-US" w:eastAsia="zh-CN"/>
              </w:rPr>
              <w:t>105条</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安全评价检测检验机构未按照有关法规标准的强制性规定从事安全评价、检测检验活动的</w:t>
            </w:r>
            <w:r>
              <w:rPr>
                <w:rFonts w:hint="eastAsia" w:ascii="仿宋" w:hAnsi="仿宋" w:eastAsia="仿宋"/>
                <w:sz w:val="21"/>
                <w:szCs w:val="21"/>
              </w:rPr>
              <w:t>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行政处罚类</w:t>
            </w:r>
            <w:r>
              <w:rPr>
                <w:rFonts w:hint="eastAsia" w:ascii="仿宋" w:hAnsi="仿宋" w:eastAsia="仿宋"/>
                <w:sz w:val="21"/>
                <w:szCs w:val="21"/>
                <w:lang w:val="en-US" w:eastAsia="zh-CN"/>
              </w:rPr>
              <w:t>106条</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安全评价检测检验机构出租、出借安全评价检测检验资质证书的</w:t>
            </w:r>
            <w:r>
              <w:rPr>
                <w:rFonts w:hint="eastAsia" w:ascii="仿宋" w:hAnsi="仿宋" w:eastAsia="仿宋"/>
                <w:sz w:val="21"/>
                <w:szCs w:val="21"/>
              </w:rPr>
              <w:t>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行政处罚类</w:t>
            </w:r>
            <w:r>
              <w:rPr>
                <w:rFonts w:hint="eastAsia" w:ascii="仿宋" w:hAnsi="仿宋" w:eastAsia="仿宋"/>
                <w:sz w:val="21"/>
                <w:szCs w:val="21"/>
                <w:lang w:val="en-US" w:eastAsia="zh-CN"/>
              </w:rPr>
              <w:t>107条</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安全评价检测检验机构安全评价项目组组长及负责勘验人员不到现场实际地点开展勘验等有关工作的</w:t>
            </w:r>
            <w:r>
              <w:rPr>
                <w:rFonts w:hint="eastAsia" w:ascii="仿宋" w:hAnsi="仿宋" w:eastAsia="仿宋"/>
                <w:sz w:val="21"/>
                <w:szCs w:val="21"/>
              </w:rPr>
              <w:t>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行政处罚类</w:t>
            </w:r>
            <w:r>
              <w:rPr>
                <w:rFonts w:hint="eastAsia" w:ascii="仿宋" w:hAnsi="仿宋" w:eastAsia="仿宋"/>
                <w:sz w:val="21"/>
                <w:szCs w:val="21"/>
                <w:lang w:val="en-US" w:eastAsia="zh-CN"/>
              </w:rPr>
              <w:t>108条</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安全评价检测检验机构承担现场检测检验的人员不到现场实际地点开展设备检测检验等有关工作的</w:t>
            </w:r>
            <w:r>
              <w:rPr>
                <w:rFonts w:hint="eastAsia" w:ascii="仿宋" w:hAnsi="仿宋" w:eastAsia="仿宋"/>
                <w:sz w:val="21"/>
                <w:szCs w:val="21"/>
              </w:rPr>
              <w:t>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615"/>
        <w:gridCol w:w="1504"/>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615"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504"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行政处罚类</w:t>
            </w:r>
            <w:r>
              <w:rPr>
                <w:rFonts w:hint="eastAsia" w:ascii="仿宋" w:hAnsi="仿宋" w:eastAsia="仿宋"/>
                <w:sz w:val="21"/>
                <w:szCs w:val="21"/>
                <w:lang w:val="en-US" w:eastAsia="zh-CN"/>
              </w:rPr>
              <w:t>109条</w:t>
            </w:r>
          </w:p>
        </w:tc>
        <w:tc>
          <w:tcPr>
            <w:tcW w:w="1615"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安全评价检测检验机构安全评价报告存在法规标准引用错误、关键危险有害因素漏项、重大危险源辨识错误、对策措施建议与存在问题严重不符等重大疏漏，但尚未造成重大损失的</w:t>
            </w:r>
            <w:r>
              <w:rPr>
                <w:rFonts w:hint="eastAsia" w:ascii="仿宋" w:hAnsi="仿宋" w:eastAsia="仿宋"/>
                <w:sz w:val="21"/>
                <w:szCs w:val="21"/>
              </w:rPr>
              <w:t>行政处罚</w:t>
            </w:r>
          </w:p>
        </w:tc>
        <w:tc>
          <w:tcPr>
            <w:tcW w:w="1504"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615" w:type="dxa"/>
            <w:vMerge w:val="continue"/>
            <w:vAlign w:val="center"/>
          </w:tcPr>
          <w:p>
            <w:pPr>
              <w:spacing w:line="240" w:lineRule="atLeast"/>
              <w:jc w:val="center"/>
              <w:rPr>
                <w:sz w:val="21"/>
                <w:szCs w:val="21"/>
              </w:rPr>
            </w:pPr>
          </w:p>
        </w:tc>
        <w:tc>
          <w:tcPr>
            <w:tcW w:w="1504"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615" w:type="dxa"/>
            <w:vMerge w:val="continue"/>
            <w:vAlign w:val="center"/>
          </w:tcPr>
          <w:p>
            <w:pPr>
              <w:spacing w:line="240" w:lineRule="atLeast"/>
              <w:jc w:val="center"/>
              <w:rPr>
                <w:sz w:val="21"/>
                <w:szCs w:val="21"/>
              </w:rPr>
            </w:pPr>
          </w:p>
        </w:tc>
        <w:tc>
          <w:tcPr>
            <w:tcW w:w="1504"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sz w:val="21"/>
                <w:szCs w:val="21"/>
              </w:rPr>
            </w:pPr>
          </w:p>
        </w:tc>
        <w:tc>
          <w:tcPr>
            <w:tcW w:w="1615" w:type="dxa"/>
            <w:vMerge w:val="continue"/>
            <w:vAlign w:val="center"/>
          </w:tcPr>
          <w:p>
            <w:pPr>
              <w:spacing w:line="240" w:lineRule="atLeast"/>
              <w:jc w:val="center"/>
              <w:rPr>
                <w:sz w:val="21"/>
                <w:szCs w:val="21"/>
              </w:rPr>
            </w:pPr>
          </w:p>
        </w:tc>
        <w:tc>
          <w:tcPr>
            <w:tcW w:w="1504"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615" w:type="dxa"/>
            <w:vMerge w:val="continue"/>
            <w:vAlign w:val="center"/>
          </w:tcPr>
          <w:p>
            <w:pPr>
              <w:spacing w:line="240" w:lineRule="atLeast"/>
              <w:jc w:val="center"/>
              <w:rPr>
                <w:sz w:val="21"/>
                <w:szCs w:val="21"/>
              </w:rPr>
            </w:pPr>
          </w:p>
        </w:tc>
        <w:tc>
          <w:tcPr>
            <w:tcW w:w="1504"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615" w:type="dxa"/>
            <w:vMerge w:val="continue"/>
            <w:vAlign w:val="center"/>
          </w:tcPr>
          <w:p>
            <w:pPr>
              <w:spacing w:line="240" w:lineRule="atLeast"/>
              <w:jc w:val="center"/>
              <w:rPr>
                <w:sz w:val="21"/>
                <w:szCs w:val="21"/>
              </w:rPr>
            </w:pPr>
          </w:p>
        </w:tc>
        <w:tc>
          <w:tcPr>
            <w:tcW w:w="1504"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sz w:val="21"/>
                <w:szCs w:val="21"/>
              </w:rPr>
            </w:pPr>
          </w:p>
        </w:tc>
        <w:tc>
          <w:tcPr>
            <w:tcW w:w="1615" w:type="dxa"/>
            <w:vMerge w:val="continue"/>
            <w:vAlign w:val="center"/>
          </w:tcPr>
          <w:p>
            <w:pPr>
              <w:spacing w:line="240" w:lineRule="atLeast"/>
              <w:jc w:val="center"/>
              <w:rPr>
                <w:sz w:val="21"/>
                <w:szCs w:val="21"/>
              </w:rPr>
            </w:pPr>
          </w:p>
        </w:tc>
        <w:tc>
          <w:tcPr>
            <w:tcW w:w="1504"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615" w:type="dxa"/>
            <w:vMerge w:val="continue"/>
            <w:vAlign w:val="center"/>
          </w:tcPr>
          <w:p>
            <w:pPr>
              <w:spacing w:line="240" w:lineRule="atLeast"/>
              <w:jc w:val="center"/>
              <w:rPr>
                <w:sz w:val="21"/>
                <w:szCs w:val="21"/>
              </w:rPr>
            </w:pPr>
          </w:p>
        </w:tc>
        <w:tc>
          <w:tcPr>
            <w:tcW w:w="1504"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行政处罚类</w:t>
            </w:r>
            <w:r>
              <w:rPr>
                <w:rFonts w:hint="eastAsia" w:ascii="仿宋" w:hAnsi="仿宋" w:eastAsia="仿宋"/>
                <w:sz w:val="21"/>
                <w:szCs w:val="21"/>
                <w:lang w:val="en-US" w:eastAsia="zh-CN"/>
              </w:rPr>
              <w:t>110条</w:t>
            </w:r>
          </w:p>
        </w:tc>
        <w:tc>
          <w:tcPr>
            <w:tcW w:w="1276"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对</w:t>
            </w:r>
            <w:r>
              <w:rPr>
                <w:rFonts w:hint="eastAsia" w:ascii="仿宋" w:hAnsi="仿宋" w:eastAsia="仿宋" w:cs="宋体"/>
                <w:color w:val="333333"/>
                <w:kern w:val="0"/>
                <w:sz w:val="21"/>
                <w:szCs w:val="21"/>
              </w:rPr>
              <w:t>安全评价检测检验机构安全生产检测检验报告存在法规标准引用错误、关键项目漏检、结论不明确等重大疏漏，但尚未造成重大损失的</w:t>
            </w:r>
            <w:r>
              <w:rPr>
                <w:rFonts w:hint="eastAsia" w:ascii="仿宋" w:hAnsi="仿宋" w:eastAsia="仿宋"/>
                <w:sz w:val="21"/>
                <w:szCs w:val="21"/>
              </w:rPr>
              <w:t>行政处罚</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《安全评价检测检验机构管理办法》第三十条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ascii="仿宋" w:hAnsi="仿宋" w:eastAsia="仿宋"/>
                <w:sz w:val="21"/>
                <w:szCs w:val="21"/>
              </w:rPr>
            </w:pPr>
            <w:r>
              <w:rPr>
                <w:rFonts w:hint="eastAsia" w:ascii="仿宋" w:hAnsi="仿宋" w:eastAsia="仿宋"/>
                <w:sz w:val="21"/>
                <w:szCs w:val="21"/>
              </w:rPr>
              <w:t>行政处罚类</w:t>
            </w:r>
            <w:r>
              <w:rPr>
                <w:rFonts w:hint="eastAsia" w:ascii="仿宋" w:hAnsi="仿宋" w:eastAsia="仿宋"/>
                <w:sz w:val="21"/>
                <w:szCs w:val="21"/>
                <w:lang w:val="en-US" w:eastAsia="zh-CN"/>
              </w:rPr>
              <w:t>139条</w:t>
            </w:r>
          </w:p>
        </w:tc>
        <w:tc>
          <w:tcPr>
            <w:tcW w:w="1276" w:type="dxa"/>
            <w:vMerge w:val="restart"/>
            <w:vAlign w:val="center"/>
          </w:tcPr>
          <w:p>
            <w:pPr>
              <w:spacing w:line="240" w:lineRule="atLeast"/>
              <w:jc w:val="center"/>
              <w:rPr>
                <w:rFonts w:hint="eastAsia" w:ascii="仿宋" w:hAnsi="仿宋" w:eastAsia="仿宋"/>
                <w:sz w:val="21"/>
                <w:szCs w:val="21"/>
                <w:lang w:eastAsia="zh-CN"/>
              </w:rPr>
            </w:pPr>
            <w:r>
              <w:rPr>
                <w:rFonts w:hint="eastAsia" w:ascii="仿宋" w:hAnsi="仿宋" w:eastAsia="仿宋"/>
                <w:sz w:val="21"/>
                <w:szCs w:val="21"/>
                <w:lang w:val="en-US" w:eastAsia="zh-CN"/>
              </w:rPr>
              <w:t>对</w:t>
            </w:r>
            <w:r>
              <w:rPr>
                <w:rFonts w:hint="eastAsia" w:ascii="仿宋" w:hAnsi="仿宋" w:eastAsia="仿宋"/>
                <w:sz w:val="21"/>
                <w:szCs w:val="21"/>
              </w:rPr>
              <w:t>不具备安全培训条件的</w:t>
            </w:r>
            <w:r>
              <w:rPr>
                <w:rFonts w:hint="eastAsia" w:ascii="仿宋" w:hAnsi="仿宋" w:eastAsia="仿宋"/>
                <w:sz w:val="21"/>
                <w:szCs w:val="21"/>
                <w:lang w:eastAsia="zh-CN"/>
              </w:rPr>
              <w:t>；未按照统一的培训大纲组织教学培训的；未建立培训档案或者培训档案管理不规范的；采取不正当竞争手段，故意贬低、诋毁其他安全培训机构的</w:t>
            </w:r>
          </w:p>
        </w:tc>
        <w:tc>
          <w:tcPr>
            <w:tcW w:w="1843" w:type="dxa"/>
            <w:vMerge w:val="restart"/>
            <w:vAlign w:val="center"/>
          </w:tcPr>
          <w:p>
            <w:pPr>
              <w:spacing w:line="240" w:lineRule="atLeast"/>
              <w:rPr>
                <w:rFonts w:ascii="仿宋" w:hAnsi="仿宋" w:eastAsia="仿宋"/>
                <w:sz w:val="21"/>
                <w:szCs w:val="21"/>
              </w:rPr>
            </w:pPr>
            <w:r>
              <w:rPr>
                <w:rFonts w:hint="eastAsia" w:ascii="仿宋" w:hAnsi="仿宋" w:eastAsia="仿宋"/>
                <w:sz w:val="21"/>
                <w:szCs w:val="21"/>
              </w:rPr>
              <w:t>《安全</w:t>
            </w:r>
            <w:r>
              <w:rPr>
                <w:rFonts w:hint="eastAsia" w:ascii="仿宋" w:hAnsi="仿宋" w:eastAsia="仿宋"/>
                <w:sz w:val="21"/>
                <w:szCs w:val="21"/>
                <w:lang w:val="en-US" w:eastAsia="zh-CN"/>
              </w:rPr>
              <w:t>生产培训</w:t>
            </w:r>
            <w:r>
              <w:rPr>
                <w:rFonts w:hint="eastAsia" w:ascii="仿宋" w:hAnsi="仿宋" w:eastAsia="仿宋"/>
                <w:sz w:val="21"/>
                <w:szCs w:val="21"/>
              </w:rPr>
              <w:t>管理办法》第三十</w:t>
            </w:r>
            <w:r>
              <w:rPr>
                <w:rFonts w:hint="eastAsia" w:ascii="仿宋" w:hAnsi="仿宋" w:eastAsia="仿宋"/>
                <w:sz w:val="21"/>
                <w:szCs w:val="21"/>
                <w:lang w:val="en-US" w:eastAsia="zh-CN"/>
              </w:rPr>
              <w:t>四</w:t>
            </w:r>
            <w:r>
              <w:rPr>
                <w:rFonts w:hint="eastAsia" w:ascii="仿宋" w:hAnsi="仿宋" w:eastAsia="仿宋"/>
                <w:sz w:val="21"/>
                <w:szCs w:val="21"/>
              </w:rPr>
              <w:t>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817" w:type="dxa"/>
            <w:vMerge w:val="continue"/>
            <w:vAlign w:val="center"/>
          </w:tcPr>
          <w:p>
            <w:pPr>
              <w:spacing w:line="240" w:lineRule="atLeast"/>
              <w:jc w:val="center"/>
              <w:rPr>
                <w:sz w:val="21"/>
                <w:szCs w:val="21"/>
              </w:rPr>
            </w:pPr>
          </w:p>
        </w:tc>
        <w:tc>
          <w:tcPr>
            <w:tcW w:w="1276" w:type="dxa"/>
            <w:vMerge w:val="continue"/>
            <w:vAlign w:val="center"/>
          </w:tcPr>
          <w:p>
            <w:pPr>
              <w:spacing w:line="240" w:lineRule="atLeast"/>
              <w:jc w:val="center"/>
              <w:rPr>
                <w:sz w:val="21"/>
                <w:szCs w:val="21"/>
              </w:rPr>
            </w:pPr>
          </w:p>
        </w:tc>
        <w:tc>
          <w:tcPr>
            <w:tcW w:w="1843" w:type="dxa"/>
            <w:vMerge w:val="continue"/>
            <w:vAlign w:val="center"/>
          </w:tcPr>
          <w:p>
            <w:pPr>
              <w:spacing w:line="240" w:lineRule="atLeast"/>
              <w:jc w:val="center"/>
              <w:rPr>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sz w:val="21"/>
                <w:szCs w:val="21"/>
              </w:rPr>
            </w:pPr>
            <w:r>
              <w:rPr>
                <w:rFonts w:hint="eastAsia" w:ascii="Times New Roman" w:hAnsi="Times New Roman" w:eastAsia="黑体" w:cs="Times New Roman"/>
                <w:b/>
                <w:bCs/>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行政处罚类</w:t>
            </w:r>
          </w:p>
          <w:p>
            <w:pPr>
              <w:widowControl w:val="0"/>
              <w:wordWrap/>
              <w:adjustRightInd/>
              <w:snapToGrid/>
              <w:spacing w:before="0" w:after="0" w:line="280" w:lineRule="exact"/>
              <w:ind w:left="0" w:leftChars="0" w:right="0"/>
              <w:jc w:val="center"/>
              <w:textAlignment w:val="auto"/>
              <w:outlineLvl w:val="9"/>
              <w:rPr>
                <w:rFonts w:hint="eastAsia" w:ascii="仿宋_GB2312" w:hAnsi="仿宋_GB2312" w:eastAsia="仿宋_GB2312" w:cs="仿宋_GB2312"/>
                <w:b w:val="0"/>
                <w:bCs w:val="0"/>
                <w:color w:val="auto"/>
                <w:sz w:val="21"/>
                <w:szCs w:val="21"/>
              </w:rPr>
            </w:pPr>
          </w:p>
          <w:p>
            <w:pPr>
              <w:widowControl w:val="0"/>
              <w:wordWrap/>
              <w:adjustRightInd/>
              <w:snapToGrid/>
              <w:spacing w:before="0" w:after="0" w:line="280" w:lineRule="exact"/>
              <w:ind w:left="0" w:leftChars="0" w:right="0"/>
              <w:jc w:val="center"/>
              <w:textAlignment w:val="auto"/>
              <w:outlineLvl w:val="9"/>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1</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对</w:t>
            </w:r>
            <w:r>
              <w:rPr>
                <w:rFonts w:hint="eastAsia" w:ascii="仿宋_GB2312" w:hAnsi="仿宋_GB2312" w:eastAsia="仿宋_GB2312" w:cs="仿宋_GB2312"/>
                <w:b w:val="0"/>
                <w:bCs w:val="0"/>
                <w:color w:val="auto"/>
                <w:sz w:val="21"/>
                <w:szCs w:val="21"/>
                <w:lang w:val="en-US" w:eastAsia="zh-CN"/>
              </w:rPr>
              <w:t>生产经营单位不具备本法和其他有关法律、行政法规和国家标准或者行业标准规定的安全生产条件，经停产停业整顿仍不具备安全生产条件</w:t>
            </w:r>
            <w:r>
              <w:rPr>
                <w:rFonts w:hint="eastAsia" w:ascii="仿宋_GB2312" w:hAnsi="仿宋_GB2312" w:eastAsia="仿宋_GB2312" w:cs="仿宋_GB2312"/>
                <w:b w:val="0"/>
                <w:bCs w:val="0"/>
                <w:color w:val="auto"/>
                <w:sz w:val="21"/>
                <w:szCs w:val="21"/>
              </w:rPr>
              <w:t>的行政处罚</w:t>
            </w:r>
          </w:p>
        </w:tc>
        <w:tc>
          <w:tcPr>
            <w:tcW w:w="1843" w:type="dxa"/>
            <w:vMerge w:val="restart"/>
            <w:vAlign w:val="center"/>
          </w:tcPr>
          <w:p>
            <w:pPr>
              <w:spacing w:line="240" w:lineRule="atLeast"/>
              <w:jc w:val="center"/>
              <w:rPr>
                <w:rFonts w:ascii="仿宋" w:hAnsi="仿宋" w:eastAsia="仿宋"/>
                <w:sz w:val="21"/>
                <w:szCs w:val="21"/>
              </w:rPr>
            </w:pPr>
            <w:r>
              <w:rPr>
                <w:rFonts w:hint="eastAsia" w:ascii="仿宋" w:hAnsi="仿宋" w:eastAsia="仿宋" w:cs="Arial"/>
                <w:color w:val="333333"/>
                <w:sz w:val="21"/>
                <w:szCs w:val="21"/>
                <w:shd w:val="clear" w:color="auto" w:fill="FFFFFF"/>
              </w:rPr>
              <w:t>《中华人民共和国安全生产法》</w:t>
            </w:r>
            <w:r>
              <w:rPr>
                <w:rFonts w:ascii="仿宋" w:hAnsi="仿宋" w:eastAsia="仿宋" w:cs="Arial"/>
                <w:color w:val="333333"/>
                <w:sz w:val="21"/>
                <w:szCs w:val="21"/>
                <w:shd w:val="clear" w:color="auto" w:fill="FFFFFF"/>
              </w:rPr>
              <w:t>第</w:t>
            </w:r>
            <w:r>
              <w:rPr>
                <w:rFonts w:hint="eastAsia" w:ascii="仿宋" w:hAnsi="仿宋" w:eastAsia="仿宋" w:cs="Arial"/>
                <w:color w:val="333333"/>
                <w:sz w:val="21"/>
                <w:szCs w:val="21"/>
                <w:shd w:val="clear" w:color="auto" w:fill="FFFFFF"/>
                <w:lang w:val="en-US" w:eastAsia="zh-CN"/>
              </w:rPr>
              <w:t>一百零八</w:t>
            </w:r>
            <w:r>
              <w:rPr>
                <w:rFonts w:ascii="仿宋" w:hAnsi="仿宋" w:eastAsia="仿宋" w:cs="Arial"/>
                <w:color w:val="333333"/>
                <w:sz w:val="21"/>
                <w:szCs w:val="21"/>
                <w:shd w:val="clear" w:color="auto" w:fill="FFFFFF"/>
              </w:rPr>
              <w:t>条</w:t>
            </w: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sz w:val="21"/>
                <w:szCs w:val="21"/>
              </w:rPr>
            </w:pPr>
            <w:r>
              <w:rPr>
                <w:rFonts w:hint="eastAsia" w:ascii="仿宋" w:hAnsi="仿宋" w:eastAsia="仿宋"/>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仿宋" w:hAnsi="仿宋" w:eastAsia="仿宋"/>
                <w:sz w:val="21"/>
                <w:szCs w:val="21"/>
              </w:rPr>
            </w:pPr>
          </w:p>
        </w:tc>
        <w:tc>
          <w:tcPr>
            <w:tcW w:w="7738" w:type="dxa"/>
            <w:vAlign w:val="center"/>
          </w:tcPr>
          <w:p>
            <w:pPr>
              <w:spacing w:line="240" w:lineRule="atLeast"/>
              <w:jc w:val="left"/>
              <w:rPr>
                <w:rFonts w:ascii="仿宋" w:hAnsi="仿宋" w:eastAsia="仿宋"/>
                <w:sz w:val="21"/>
                <w:szCs w:val="21"/>
              </w:rPr>
            </w:pPr>
            <w:r>
              <w:rPr>
                <w:rFonts w:hint="eastAsia" w:ascii="仿宋" w:hAnsi="仿宋" w:eastAsia="仿宋"/>
                <w:sz w:val="21"/>
                <w:szCs w:val="21"/>
              </w:rPr>
              <w:t>8、法律、法规、规章规定的其他应履行的责任事项。</w:t>
            </w:r>
          </w:p>
        </w:tc>
        <w:tc>
          <w:tcPr>
            <w:tcW w:w="2893" w:type="dxa"/>
            <w:vMerge w:val="continue"/>
            <w:vAlign w:val="center"/>
          </w:tcPr>
          <w:p>
            <w:pPr>
              <w:spacing w:line="240" w:lineRule="atLeast"/>
              <w:jc w:val="center"/>
              <w:rPr>
                <w:rFonts w:ascii="仿宋" w:hAnsi="仿宋" w:eastAsia="仿宋"/>
                <w:sz w:val="21"/>
                <w:szCs w:val="21"/>
              </w:rPr>
            </w:pPr>
          </w:p>
        </w:tc>
      </w:tr>
    </w:tbl>
    <w:p>
      <w:pPr>
        <w:jc w:val="center"/>
        <w:rPr>
          <w:rFonts w:hint="eastAsia"/>
          <w:sz w:val="21"/>
          <w:szCs w:val="21"/>
          <w:lang w:eastAsia="zh-CN"/>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行政处罚类</w:t>
            </w:r>
          </w:p>
          <w:p>
            <w:pPr>
              <w:spacing w:line="240" w:lineRule="atLeast"/>
              <w:jc w:val="center"/>
              <w:rPr>
                <w:rFonts w:hint="eastAsia" w:ascii="仿宋" w:hAnsi="仿宋" w:eastAsia="仿宋"/>
                <w:color w:val="auto"/>
                <w:sz w:val="21"/>
                <w:szCs w:val="21"/>
              </w:rPr>
            </w:pPr>
          </w:p>
          <w:p>
            <w:pPr>
              <w:spacing w:line="240" w:lineRule="atLeast"/>
              <w:jc w:val="center"/>
              <w:rPr>
                <w:rFonts w:hint="eastAsia" w:ascii="仿宋" w:hAnsi="仿宋" w:eastAsia="仿宋"/>
                <w:color w:val="auto"/>
                <w:sz w:val="21"/>
                <w:szCs w:val="21"/>
                <w:lang w:val="en-US" w:eastAsia="zh-CN"/>
              </w:rPr>
            </w:pPr>
            <w:r>
              <w:rPr>
                <w:rFonts w:hint="eastAsia" w:ascii="仿宋" w:hAnsi="仿宋" w:eastAsia="仿宋"/>
                <w:color w:val="auto"/>
                <w:sz w:val="21"/>
                <w:szCs w:val="21"/>
                <w:lang w:val="en-US" w:eastAsia="zh-CN"/>
              </w:rPr>
              <w:t>2</w:t>
            </w:r>
          </w:p>
        </w:tc>
        <w:tc>
          <w:tcPr>
            <w:tcW w:w="1276"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对</w:t>
            </w:r>
            <w:r>
              <w:rPr>
                <w:rFonts w:hint="eastAsia" w:ascii="仿宋" w:hAnsi="仿宋" w:eastAsia="仿宋" w:cs="Arial"/>
                <w:color w:val="auto"/>
                <w:sz w:val="21"/>
                <w:szCs w:val="21"/>
                <w:shd w:val="clear" w:color="auto" w:fill="FFFFFF"/>
              </w:rPr>
              <w:t>生产经营单位的决策机构、主要负责人或者个人经营的投资人不依照本法规定保证安全生产所必需的资金投入，致使生产经营单位不具备安全生产条件的</w:t>
            </w:r>
            <w:r>
              <w:rPr>
                <w:rFonts w:hint="eastAsia" w:ascii="仿宋" w:hAnsi="仿宋" w:eastAsia="仿宋" w:cs="Arial"/>
                <w:color w:val="auto"/>
                <w:sz w:val="21"/>
                <w:szCs w:val="21"/>
                <w:shd w:val="clear" w:color="auto" w:fill="FFFFFF"/>
                <w:lang w:eastAsia="zh-CN"/>
              </w:rPr>
              <w:t>，</w:t>
            </w:r>
            <w:r>
              <w:rPr>
                <w:rFonts w:hint="eastAsia" w:ascii="仿宋" w:hAnsi="仿宋" w:eastAsia="仿宋" w:cs="Arial"/>
                <w:color w:val="auto"/>
                <w:sz w:val="21"/>
                <w:szCs w:val="21"/>
                <w:shd w:val="clear" w:color="auto" w:fill="FFFFFF"/>
                <w:lang w:val="en-US" w:eastAsia="zh-CN"/>
              </w:rPr>
              <w:t>或导致发生生产安全事故</w:t>
            </w:r>
            <w:r>
              <w:rPr>
                <w:rFonts w:ascii="仿宋" w:hAnsi="仿宋" w:eastAsia="仿宋" w:cs="Arial"/>
                <w:color w:val="auto"/>
                <w:sz w:val="21"/>
                <w:szCs w:val="21"/>
                <w:shd w:val="clear" w:color="auto" w:fill="FFFFFF"/>
              </w:rPr>
              <w:t>的</w:t>
            </w:r>
            <w:r>
              <w:rPr>
                <w:rFonts w:hint="eastAsia" w:ascii="仿宋" w:hAnsi="仿宋" w:eastAsia="仿宋"/>
                <w:color w:val="auto"/>
                <w:sz w:val="21"/>
                <w:szCs w:val="21"/>
              </w:rPr>
              <w:t>行政处罚</w:t>
            </w:r>
          </w:p>
        </w:tc>
        <w:tc>
          <w:tcPr>
            <w:tcW w:w="1843"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s="Arial"/>
                <w:color w:val="auto"/>
                <w:sz w:val="21"/>
                <w:szCs w:val="21"/>
                <w:shd w:val="clear" w:color="auto" w:fill="FFFFFF"/>
              </w:rPr>
              <w:t>《中华人民共和国安全生产法》</w:t>
            </w:r>
            <w:r>
              <w:rPr>
                <w:rFonts w:ascii="仿宋" w:hAnsi="仿宋" w:eastAsia="仿宋" w:cs="Arial"/>
                <w:color w:val="auto"/>
                <w:sz w:val="21"/>
                <w:szCs w:val="21"/>
                <w:shd w:val="clear" w:color="auto" w:fill="FFFFFF"/>
              </w:rPr>
              <w:t>第</w:t>
            </w:r>
            <w:r>
              <w:rPr>
                <w:rFonts w:hint="eastAsia" w:ascii="仿宋" w:hAnsi="仿宋" w:eastAsia="仿宋" w:cs="Arial"/>
                <w:color w:val="auto"/>
                <w:sz w:val="21"/>
                <w:szCs w:val="21"/>
                <w:shd w:val="clear" w:color="auto" w:fill="FFFFFF"/>
              </w:rPr>
              <w:t>九十</w:t>
            </w:r>
            <w:r>
              <w:rPr>
                <w:rFonts w:ascii="仿宋" w:hAnsi="仿宋" w:eastAsia="仿宋" w:cs="Arial"/>
                <w:color w:val="auto"/>
                <w:sz w:val="21"/>
                <w:szCs w:val="21"/>
                <w:shd w:val="clear" w:color="auto" w:fill="FFFFFF"/>
              </w:rPr>
              <w:t>条</w:t>
            </w: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8、法律、法规、规章规定的其他应履行的责任事项。</w:t>
            </w:r>
          </w:p>
        </w:tc>
        <w:tc>
          <w:tcPr>
            <w:tcW w:w="2893" w:type="dxa"/>
            <w:vMerge w:val="continue"/>
            <w:vAlign w:val="center"/>
          </w:tcPr>
          <w:p>
            <w:pPr>
              <w:spacing w:line="240" w:lineRule="atLeast"/>
              <w:jc w:val="center"/>
              <w:rPr>
                <w:rFonts w:ascii="仿宋" w:hAnsi="仿宋" w:eastAsia="仿宋"/>
                <w:color w:val="auto"/>
                <w:sz w:val="21"/>
                <w:szCs w:val="21"/>
              </w:rPr>
            </w:pPr>
          </w:p>
        </w:tc>
      </w:tr>
    </w:tbl>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行政处罚类</w:t>
            </w:r>
          </w:p>
          <w:p>
            <w:pPr>
              <w:spacing w:line="240" w:lineRule="atLeast"/>
              <w:jc w:val="center"/>
              <w:rPr>
                <w:rFonts w:hint="eastAsia" w:ascii="仿宋" w:hAnsi="仿宋" w:eastAsia="仿宋"/>
                <w:color w:val="auto"/>
                <w:sz w:val="21"/>
                <w:szCs w:val="21"/>
                <w:lang w:val="en-US" w:eastAsia="zh-CN"/>
              </w:rPr>
            </w:pPr>
            <w:r>
              <w:rPr>
                <w:rFonts w:hint="eastAsia" w:ascii="仿宋" w:hAnsi="仿宋" w:eastAsia="仿宋"/>
                <w:color w:val="auto"/>
                <w:sz w:val="21"/>
                <w:szCs w:val="21"/>
                <w:lang w:val="en-US" w:eastAsia="zh-CN"/>
              </w:rPr>
              <w:t>3</w:t>
            </w:r>
          </w:p>
        </w:tc>
        <w:tc>
          <w:tcPr>
            <w:tcW w:w="1276"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对</w:t>
            </w:r>
            <w:r>
              <w:rPr>
                <w:rFonts w:ascii="仿宋" w:hAnsi="仿宋" w:eastAsia="仿宋" w:cs="Arial"/>
                <w:color w:val="auto"/>
                <w:sz w:val="21"/>
                <w:szCs w:val="21"/>
                <w:shd w:val="clear" w:color="auto" w:fill="FFFFFF"/>
              </w:rPr>
              <w:t>生产经营单位的主要负责人未履行本法规定的安全生产管理职责，导致发生生产安全事故的</w:t>
            </w:r>
            <w:r>
              <w:rPr>
                <w:rFonts w:hint="eastAsia" w:ascii="仿宋" w:hAnsi="仿宋" w:eastAsia="仿宋"/>
                <w:color w:val="auto"/>
                <w:sz w:val="21"/>
                <w:szCs w:val="21"/>
              </w:rPr>
              <w:t>行政处罚</w:t>
            </w:r>
          </w:p>
        </w:tc>
        <w:tc>
          <w:tcPr>
            <w:tcW w:w="1843"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s="Arial"/>
                <w:color w:val="auto"/>
                <w:sz w:val="21"/>
                <w:szCs w:val="21"/>
                <w:shd w:val="clear" w:color="auto" w:fill="FFFFFF"/>
              </w:rPr>
              <w:t>《中华人民共和国安全生产法》</w:t>
            </w:r>
            <w:r>
              <w:rPr>
                <w:rFonts w:ascii="仿宋" w:hAnsi="仿宋" w:eastAsia="仿宋" w:cs="Arial"/>
                <w:color w:val="auto"/>
                <w:sz w:val="21"/>
                <w:szCs w:val="21"/>
                <w:shd w:val="clear" w:color="auto" w:fill="FFFFFF"/>
              </w:rPr>
              <w:t>第</w:t>
            </w:r>
            <w:r>
              <w:rPr>
                <w:rFonts w:hint="eastAsia" w:ascii="仿宋" w:hAnsi="仿宋" w:eastAsia="仿宋" w:cs="Arial"/>
                <w:color w:val="auto"/>
                <w:sz w:val="21"/>
                <w:szCs w:val="21"/>
                <w:shd w:val="clear" w:color="auto" w:fill="FFFFFF"/>
              </w:rPr>
              <w:t>九十二</w:t>
            </w:r>
            <w:r>
              <w:rPr>
                <w:rFonts w:ascii="仿宋" w:hAnsi="仿宋" w:eastAsia="仿宋" w:cs="Arial"/>
                <w:color w:val="auto"/>
                <w:sz w:val="21"/>
                <w:szCs w:val="21"/>
                <w:shd w:val="clear" w:color="auto" w:fill="FFFFFF"/>
              </w:rPr>
              <w:t>条</w:t>
            </w: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color w:val="auto"/>
                <w:sz w:val="21"/>
                <w:szCs w:val="21"/>
              </w:rPr>
            </w:pPr>
          </w:p>
        </w:tc>
      </w:tr>
    </w:tbl>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行政处罚类</w:t>
            </w:r>
          </w:p>
          <w:p>
            <w:pPr>
              <w:spacing w:line="240" w:lineRule="atLeast"/>
              <w:jc w:val="center"/>
              <w:rPr>
                <w:rFonts w:hint="eastAsia" w:ascii="仿宋" w:hAnsi="仿宋" w:eastAsia="仿宋"/>
                <w:color w:val="auto"/>
                <w:sz w:val="21"/>
                <w:szCs w:val="21"/>
                <w:lang w:val="en-US" w:eastAsia="zh-CN"/>
              </w:rPr>
            </w:pPr>
            <w:r>
              <w:rPr>
                <w:rFonts w:hint="eastAsia" w:ascii="仿宋" w:hAnsi="仿宋" w:eastAsia="仿宋"/>
                <w:color w:val="auto"/>
                <w:sz w:val="21"/>
                <w:szCs w:val="21"/>
                <w:lang w:val="en-US" w:eastAsia="zh-CN"/>
              </w:rPr>
              <w:t>4</w:t>
            </w:r>
          </w:p>
        </w:tc>
        <w:tc>
          <w:tcPr>
            <w:tcW w:w="1276"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对</w:t>
            </w:r>
            <w:r>
              <w:rPr>
                <w:rFonts w:ascii="仿宋" w:hAnsi="仿宋" w:eastAsia="仿宋" w:cs="Arial"/>
                <w:color w:val="auto"/>
                <w:sz w:val="21"/>
                <w:szCs w:val="21"/>
                <w:shd w:val="clear" w:color="auto" w:fill="FFFFFF"/>
              </w:rPr>
              <w:t>生产经营单位的主要负责人对生产安全事故隐瞒不报、谎报或者迟报的</w:t>
            </w:r>
            <w:r>
              <w:rPr>
                <w:rFonts w:hint="eastAsia" w:ascii="仿宋" w:hAnsi="仿宋" w:eastAsia="仿宋"/>
                <w:color w:val="auto"/>
                <w:sz w:val="21"/>
                <w:szCs w:val="21"/>
              </w:rPr>
              <w:t>行政处罚</w:t>
            </w:r>
          </w:p>
        </w:tc>
        <w:tc>
          <w:tcPr>
            <w:tcW w:w="1843" w:type="dxa"/>
            <w:vMerge w:val="restart"/>
            <w:vAlign w:val="center"/>
          </w:tcPr>
          <w:p>
            <w:pPr>
              <w:spacing w:line="240" w:lineRule="atLeast"/>
              <w:jc w:val="center"/>
              <w:rPr>
                <w:rFonts w:ascii="仿宋" w:hAnsi="仿宋" w:eastAsia="仿宋" w:cs="Arial"/>
                <w:color w:val="auto"/>
                <w:sz w:val="21"/>
                <w:szCs w:val="21"/>
                <w:shd w:val="clear" w:color="auto" w:fill="FFFFFF"/>
              </w:rPr>
            </w:pPr>
            <w:r>
              <w:rPr>
                <w:rFonts w:hint="eastAsia" w:ascii="仿宋" w:hAnsi="仿宋" w:eastAsia="仿宋" w:cs="Arial"/>
                <w:color w:val="auto"/>
                <w:sz w:val="21"/>
                <w:szCs w:val="21"/>
                <w:shd w:val="clear" w:color="auto" w:fill="FFFFFF"/>
              </w:rPr>
              <w:t>《中华人民共和国安全生产法》</w:t>
            </w:r>
            <w:r>
              <w:rPr>
                <w:rFonts w:ascii="仿宋" w:hAnsi="仿宋" w:eastAsia="仿宋" w:cs="Arial"/>
                <w:color w:val="auto"/>
                <w:sz w:val="21"/>
                <w:szCs w:val="21"/>
                <w:shd w:val="clear" w:color="auto" w:fill="FFFFFF"/>
              </w:rPr>
              <w:t>第</w:t>
            </w:r>
            <w:r>
              <w:rPr>
                <w:rFonts w:hint="eastAsia" w:ascii="仿宋" w:hAnsi="仿宋" w:eastAsia="仿宋" w:cs="Arial"/>
                <w:color w:val="auto"/>
                <w:sz w:val="21"/>
                <w:szCs w:val="21"/>
                <w:shd w:val="clear" w:color="auto" w:fill="FFFFFF"/>
              </w:rPr>
              <w:t>一百零六</w:t>
            </w:r>
            <w:r>
              <w:rPr>
                <w:rFonts w:ascii="仿宋" w:hAnsi="仿宋" w:eastAsia="仿宋" w:cs="Arial"/>
                <w:color w:val="auto"/>
                <w:sz w:val="21"/>
                <w:szCs w:val="21"/>
                <w:shd w:val="clear" w:color="auto" w:fill="FFFFFF"/>
              </w:rPr>
              <w:t>条</w:t>
            </w:r>
          </w:p>
          <w:p>
            <w:pPr>
              <w:spacing w:line="240" w:lineRule="atLeast"/>
              <w:jc w:val="center"/>
              <w:rPr>
                <w:rFonts w:hint="default" w:ascii="仿宋" w:hAnsi="仿宋" w:eastAsia="仿宋" w:cs="Arial"/>
                <w:color w:val="auto"/>
                <w:sz w:val="21"/>
                <w:szCs w:val="21"/>
                <w:shd w:val="clear" w:color="auto" w:fill="FFFFFF"/>
                <w:lang w:val="en-US" w:eastAsia="zh-CN"/>
              </w:rPr>
            </w:pPr>
            <w:r>
              <w:rPr>
                <w:rFonts w:hint="eastAsia" w:ascii="仿宋" w:hAnsi="仿宋" w:eastAsia="仿宋" w:cs="Arial"/>
                <w:color w:val="auto"/>
                <w:sz w:val="21"/>
                <w:szCs w:val="21"/>
                <w:shd w:val="clear" w:color="auto" w:fill="FFFFFF"/>
                <w:lang w:eastAsia="zh-CN"/>
              </w:rPr>
              <w:t>《生产经营单位瞒报谎报事故行为查处办法》</w:t>
            </w:r>
            <w:r>
              <w:rPr>
                <w:rFonts w:hint="eastAsia" w:ascii="仿宋" w:hAnsi="仿宋" w:eastAsia="仿宋" w:cs="Arial"/>
                <w:color w:val="auto"/>
                <w:sz w:val="21"/>
                <w:szCs w:val="21"/>
                <w:shd w:val="clear" w:color="auto" w:fill="FFFFFF"/>
                <w:lang w:val="en-US" w:eastAsia="zh-CN"/>
              </w:rPr>
              <w:t>第十、十一、十二、十三、十四条</w:t>
            </w: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8、法律、法规、规章规定的其他应履行的责任事项。</w:t>
            </w:r>
          </w:p>
        </w:tc>
        <w:tc>
          <w:tcPr>
            <w:tcW w:w="2893" w:type="dxa"/>
            <w:vMerge w:val="continue"/>
            <w:vAlign w:val="center"/>
          </w:tcPr>
          <w:p>
            <w:pPr>
              <w:spacing w:line="240" w:lineRule="atLeast"/>
              <w:jc w:val="center"/>
              <w:rPr>
                <w:rFonts w:ascii="仿宋" w:hAnsi="仿宋" w:eastAsia="仿宋"/>
                <w:color w:val="auto"/>
                <w:sz w:val="21"/>
                <w:szCs w:val="21"/>
              </w:rPr>
            </w:pPr>
          </w:p>
        </w:tc>
      </w:tr>
    </w:tbl>
    <w:p>
      <w:pPr>
        <w:rPr>
          <w:b/>
          <w:bCs/>
          <w:color w:val="auto"/>
          <w:sz w:val="21"/>
          <w:szCs w:val="21"/>
        </w:rPr>
      </w:pPr>
    </w:p>
    <w:p>
      <w:pPr>
        <w:rPr>
          <w:b/>
          <w:bCs/>
          <w:color w:val="auto"/>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626"/>
        <w:gridCol w:w="149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类别</w:t>
            </w:r>
          </w:p>
        </w:tc>
        <w:tc>
          <w:tcPr>
            <w:tcW w:w="1626"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职权名称</w:t>
            </w:r>
          </w:p>
        </w:tc>
        <w:tc>
          <w:tcPr>
            <w:tcW w:w="14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行政处罚类</w:t>
            </w:r>
          </w:p>
          <w:p>
            <w:pPr>
              <w:spacing w:line="240" w:lineRule="atLeast"/>
              <w:jc w:val="center"/>
              <w:rPr>
                <w:rFonts w:hint="eastAsia" w:ascii="仿宋" w:hAnsi="仿宋" w:eastAsia="仿宋"/>
                <w:color w:val="auto"/>
                <w:sz w:val="21"/>
                <w:szCs w:val="21"/>
                <w:lang w:val="en-US" w:eastAsia="zh-CN"/>
              </w:rPr>
            </w:pPr>
            <w:r>
              <w:rPr>
                <w:rFonts w:hint="eastAsia" w:ascii="仿宋" w:hAnsi="仿宋" w:eastAsia="仿宋"/>
                <w:color w:val="auto"/>
                <w:sz w:val="21"/>
                <w:szCs w:val="21"/>
                <w:lang w:val="en-US" w:eastAsia="zh-CN"/>
              </w:rPr>
              <w:t>4</w:t>
            </w:r>
          </w:p>
        </w:tc>
        <w:tc>
          <w:tcPr>
            <w:tcW w:w="1626"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对事故发生单位及其有关人员</w:t>
            </w:r>
            <w:r>
              <w:rPr>
                <w:rFonts w:hint="eastAsia" w:ascii="仿宋" w:hAnsi="仿宋" w:eastAsia="仿宋"/>
                <w:color w:val="auto"/>
                <w:sz w:val="21"/>
                <w:szCs w:val="21"/>
                <w:lang w:val="en-US" w:eastAsia="zh-CN"/>
              </w:rPr>
              <w:t>有</w:t>
            </w:r>
            <w:r>
              <w:rPr>
                <w:rFonts w:hint="eastAsia" w:ascii="仿宋" w:hAnsi="仿宋" w:eastAsia="仿宋" w:cs="Arial"/>
                <w:color w:val="auto"/>
                <w:sz w:val="21"/>
                <w:szCs w:val="21"/>
                <w:shd w:val="clear" w:color="auto" w:fill="FFFFFF"/>
              </w:rPr>
              <w:t>谎报或者瞒报事故</w:t>
            </w:r>
            <w:r>
              <w:rPr>
                <w:rFonts w:hint="eastAsia" w:ascii="仿宋" w:hAnsi="仿宋" w:eastAsia="仿宋" w:cs="Arial"/>
                <w:color w:val="auto"/>
                <w:sz w:val="21"/>
                <w:szCs w:val="21"/>
                <w:shd w:val="clear" w:color="auto" w:fill="FFFFFF"/>
                <w:lang w:eastAsia="zh-CN"/>
              </w:rPr>
              <w:t>、伪造或者故意破坏事故现场、转移、隐匿资金、财产，或者销毁有关证据、资料、拒绝接受调查或者拒绝提供有关情况和资料、在事故调查中作伪证或者指使他人作伪证、事故发生后逃匿</w:t>
            </w:r>
            <w:r>
              <w:rPr>
                <w:rFonts w:ascii="仿宋" w:hAnsi="仿宋" w:eastAsia="仿宋" w:cs="Arial"/>
                <w:color w:val="auto"/>
                <w:sz w:val="21"/>
                <w:szCs w:val="21"/>
                <w:shd w:val="clear" w:color="auto" w:fill="FFFFFF"/>
              </w:rPr>
              <w:t>的</w:t>
            </w:r>
            <w:r>
              <w:rPr>
                <w:rFonts w:hint="eastAsia" w:ascii="仿宋" w:hAnsi="仿宋" w:eastAsia="仿宋"/>
                <w:color w:val="auto"/>
                <w:sz w:val="21"/>
                <w:szCs w:val="21"/>
              </w:rPr>
              <w:t>行政处罚</w:t>
            </w:r>
          </w:p>
        </w:tc>
        <w:tc>
          <w:tcPr>
            <w:tcW w:w="1493" w:type="dxa"/>
            <w:vMerge w:val="restart"/>
            <w:vAlign w:val="center"/>
          </w:tcPr>
          <w:p>
            <w:pPr>
              <w:spacing w:line="240" w:lineRule="atLeast"/>
              <w:jc w:val="center"/>
              <w:rPr>
                <w:rFonts w:hint="default" w:ascii="仿宋" w:hAnsi="仿宋" w:eastAsia="仿宋" w:cs="Arial"/>
                <w:color w:val="auto"/>
                <w:sz w:val="21"/>
                <w:szCs w:val="21"/>
                <w:shd w:val="clear" w:color="auto" w:fill="FFFFFF"/>
                <w:lang w:val="en-US" w:eastAsia="zh-CN"/>
              </w:rPr>
            </w:pPr>
            <w:r>
              <w:rPr>
                <w:rFonts w:hint="eastAsia" w:ascii="仿宋" w:hAnsi="仿宋" w:eastAsia="仿宋" w:cs="Arial"/>
                <w:color w:val="auto"/>
                <w:sz w:val="21"/>
                <w:szCs w:val="21"/>
                <w:shd w:val="clear" w:color="auto" w:fill="FFFFFF"/>
                <w:lang w:eastAsia="zh-CN"/>
              </w:rPr>
              <w:t>《生产安全事故报告和调查处理条例》</w:t>
            </w:r>
            <w:r>
              <w:rPr>
                <w:rFonts w:hint="eastAsia" w:ascii="仿宋" w:hAnsi="仿宋" w:eastAsia="仿宋" w:cs="Arial"/>
                <w:color w:val="auto"/>
                <w:sz w:val="21"/>
                <w:szCs w:val="21"/>
                <w:shd w:val="clear" w:color="auto" w:fill="FFFFFF"/>
                <w:lang w:val="en-US" w:eastAsia="zh-CN"/>
              </w:rPr>
              <w:t>第三十六条</w:t>
            </w: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626" w:type="dxa"/>
            <w:vMerge w:val="continue"/>
            <w:vAlign w:val="center"/>
          </w:tcPr>
          <w:p>
            <w:pPr>
              <w:spacing w:line="240" w:lineRule="atLeast"/>
              <w:jc w:val="center"/>
              <w:rPr>
                <w:rFonts w:ascii="仿宋" w:hAnsi="仿宋" w:eastAsia="仿宋"/>
                <w:color w:val="auto"/>
                <w:sz w:val="21"/>
                <w:szCs w:val="21"/>
              </w:rPr>
            </w:pPr>
          </w:p>
        </w:tc>
        <w:tc>
          <w:tcPr>
            <w:tcW w:w="149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626" w:type="dxa"/>
            <w:vMerge w:val="continue"/>
            <w:vAlign w:val="center"/>
          </w:tcPr>
          <w:p>
            <w:pPr>
              <w:spacing w:line="240" w:lineRule="atLeast"/>
              <w:jc w:val="center"/>
              <w:rPr>
                <w:rFonts w:ascii="仿宋" w:hAnsi="仿宋" w:eastAsia="仿宋"/>
                <w:color w:val="auto"/>
                <w:sz w:val="21"/>
                <w:szCs w:val="21"/>
              </w:rPr>
            </w:pPr>
          </w:p>
        </w:tc>
        <w:tc>
          <w:tcPr>
            <w:tcW w:w="149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626" w:type="dxa"/>
            <w:vMerge w:val="continue"/>
            <w:vAlign w:val="center"/>
          </w:tcPr>
          <w:p>
            <w:pPr>
              <w:spacing w:line="240" w:lineRule="atLeast"/>
              <w:jc w:val="center"/>
              <w:rPr>
                <w:rFonts w:ascii="仿宋" w:hAnsi="仿宋" w:eastAsia="仿宋"/>
                <w:color w:val="auto"/>
                <w:sz w:val="21"/>
                <w:szCs w:val="21"/>
              </w:rPr>
            </w:pPr>
          </w:p>
        </w:tc>
        <w:tc>
          <w:tcPr>
            <w:tcW w:w="149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626" w:type="dxa"/>
            <w:vMerge w:val="continue"/>
            <w:vAlign w:val="center"/>
          </w:tcPr>
          <w:p>
            <w:pPr>
              <w:spacing w:line="240" w:lineRule="atLeast"/>
              <w:jc w:val="center"/>
              <w:rPr>
                <w:rFonts w:ascii="仿宋" w:hAnsi="仿宋" w:eastAsia="仿宋"/>
                <w:color w:val="auto"/>
                <w:sz w:val="21"/>
                <w:szCs w:val="21"/>
              </w:rPr>
            </w:pPr>
          </w:p>
        </w:tc>
        <w:tc>
          <w:tcPr>
            <w:tcW w:w="149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626" w:type="dxa"/>
            <w:vMerge w:val="continue"/>
            <w:vAlign w:val="center"/>
          </w:tcPr>
          <w:p>
            <w:pPr>
              <w:spacing w:line="240" w:lineRule="atLeast"/>
              <w:jc w:val="center"/>
              <w:rPr>
                <w:rFonts w:ascii="仿宋" w:hAnsi="仿宋" w:eastAsia="仿宋"/>
                <w:color w:val="auto"/>
                <w:sz w:val="21"/>
                <w:szCs w:val="21"/>
              </w:rPr>
            </w:pPr>
          </w:p>
        </w:tc>
        <w:tc>
          <w:tcPr>
            <w:tcW w:w="149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626" w:type="dxa"/>
            <w:vMerge w:val="continue"/>
            <w:vAlign w:val="center"/>
          </w:tcPr>
          <w:p>
            <w:pPr>
              <w:spacing w:line="240" w:lineRule="atLeast"/>
              <w:jc w:val="center"/>
              <w:rPr>
                <w:rFonts w:ascii="仿宋" w:hAnsi="仿宋" w:eastAsia="仿宋"/>
                <w:color w:val="auto"/>
                <w:sz w:val="21"/>
                <w:szCs w:val="21"/>
              </w:rPr>
            </w:pPr>
          </w:p>
        </w:tc>
        <w:tc>
          <w:tcPr>
            <w:tcW w:w="149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626" w:type="dxa"/>
            <w:vMerge w:val="continue"/>
            <w:vAlign w:val="center"/>
          </w:tcPr>
          <w:p>
            <w:pPr>
              <w:spacing w:line="240" w:lineRule="atLeast"/>
              <w:jc w:val="center"/>
              <w:rPr>
                <w:rFonts w:ascii="仿宋" w:hAnsi="仿宋" w:eastAsia="仿宋"/>
                <w:color w:val="auto"/>
                <w:sz w:val="21"/>
                <w:szCs w:val="21"/>
              </w:rPr>
            </w:pPr>
          </w:p>
        </w:tc>
        <w:tc>
          <w:tcPr>
            <w:tcW w:w="149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8、法律、法规、规章规定的其他应履行的责任事项。</w:t>
            </w:r>
          </w:p>
        </w:tc>
        <w:tc>
          <w:tcPr>
            <w:tcW w:w="2893" w:type="dxa"/>
            <w:vMerge w:val="continue"/>
            <w:vAlign w:val="center"/>
          </w:tcPr>
          <w:p>
            <w:pPr>
              <w:spacing w:line="240" w:lineRule="atLeast"/>
              <w:jc w:val="center"/>
              <w:rPr>
                <w:rFonts w:ascii="仿宋" w:hAnsi="仿宋" w:eastAsia="仿宋"/>
                <w:color w:val="auto"/>
                <w:sz w:val="21"/>
                <w:szCs w:val="21"/>
              </w:rPr>
            </w:pPr>
          </w:p>
        </w:tc>
      </w:tr>
    </w:tbl>
    <w:p>
      <w:pPr>
        <w:rPr>
          <w:b/>
          <w:bCs/>
          <w:color w:val="auto"/>
          <w:sz w:val="21"/>
          <w:szCs w:val="21"/>
        </w:rPr>
      </w:pPr>
    </w:p>
    <w:p>
      <w:pPr>
        <w:rPr>
          <w:b/>
          <w:bCs/>
          <w:color w:val="auto"/>
          <w:sz w:val="21"/>
          <w:szCs w:val="21"/>
        </w:rPr>
      </w:pPr>
    </w:p>
    <w:p>
      <w:pPr>
        <w:rPr>
          <w:b/>
          <w:bCs/>
          <w:color w:val="auto"/>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行政处罚类</w:t>
            </w:r>
          </w:p>
          <w:p>
            <w:pPr>
              <w:spacing w:line="240" w:lineRule="atLeast"/>
              <w:jc w:val="center"/>
              <w:rPr>
                <w:rFonts w:hint="eastAsia" w:ascii="仿宋" w:hAnsi="仿宋" w:eastAsia="仿宋"/>
                <w:color w:val="auto"/>
                <w:sz w:val="21"/>
                <w:szCs w:val="21"/>
                <w:lang w:val="en-US" w:eastAsia="zh-CN"/>
              </w:rPr>
            </w:pPr>
            <w:r>
              <w:rPr>
                <w:rFonts w:hint="eastAsia" w:ascii="仿宋" w:hAnsi="仿宋" w:eastAsia="仿宋"/>
                <w:color w:val="auto"/>
                <w:sz w:val="21"/>
                <w:szCs w:val="21"/>
                <w:lang w:val="en-US" w:eastAsia="zh-CN"/>
              </w:rPr>
              <w:t>5</w:t>
            </w:r>
          </w:p>
        </w:tc>
        <w:tc>
          <w:tcPr>
            <w:tcW w:w="1276"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对生产经营单位</w:t>
            </w:r>
            <w:r>
              <w:rPr>
                <w:rFonts w:ascii="仿宋" w:hAnsi="仿宋" w:eastAsia="仿宋" w:cs="Arial"/>
                <w:color w:val="auto"/>
                <w:sz w:val="21"/>
                <w:szCs w:val="21"/>
                <w:shd w:val="clear" w:color="auto" w:fill="FFFFFF"/>
              </w:rPr>
              <w:t>未按照规定设置安全生产管理机构或者配备安全生产管理人员</w:t>
            </w:r>
            <w:r>
              <w:rPr>
                <w:rFonts w:hint="eastAsia" w:ascii="仿宋" w:hAnsi="仿宋" w:eastAsia="仿宋"/>
                <w:color w:val="auto"/>
                <w:sz w:val="21"/>
                <w:szCs w:val="21"/>
              </w:rPr>
              <w:t>的行政处罚</w:t>
            </w:r>
          </w:p>
        </w:tc>
        <w:tc>
          <w:tcPr>
            <w:tcW w:w="1843"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s="Arial"/>
                <w:color w:val="auto"/>
                <w:sz w:val="21"/>
                <w:szCs w:val="21"/>
                <w:shd w:val="clear" w:color="auto" w:fill="FFFFFF"/>
              </w:rPr>
              <w:t>《中华人民共和国安全生产法》</w:t>
            </w:r>
            <w:r>
              <w:rPr>
                <w:rFonts w:ascii="仿宋" w:hAnsi="仿宋" w:eastAsia="仿宋" w:cs="Arial"/>
                <w:color w:val="auto"/>
                <w:sz w:val="21"/>
                <w:szCs w:val="21"/>
                <w:shd w:val="clear" w:color="auto" w:fill="FFFFFF"/>
              </w:rPr>
              <w:t>第</w:t>
            </w:r>
            <w:r>
              <w:rPr>
                <w:rFonts w:hint="eastAsia" w:ascii="仿宋" w:hAnsi="仿宋" w:eastAsia="仿宋" w:cs="Arial"/>
                <w:color w:val="auto"/>
                <w:sz w:val="21"/>
                <w:szCs w:val="21"/>
                <w:shd w:val="clear" w:color="auto" w:fill="FFFFFF"/>
              </w:rPr>
              <w:t>九十四</w:t>
            </w:r>
            <w:r>
              <w:rPr>
                <w:rFonts w:ascii="仿宋" w:hAnsi="仿宋" w:eastAsia="仿宋" w:cs="Arial"/>
                <w:color w:val="auto"/>
                <w:sz w:val="21"/>
                <w:szCs w:val="21"/>
                <w:shd w:val="clear" w:color="auto" w:fill="FFFFFF"/>
              </w:rPr>
              <w:t>条</w:t>
            </w: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8、法律、法规、规章规定的其他应履行的责任事项。</w:t>
            </w:r>
          </w:p>
        </w:tc>
        <w:tc>
          <w:tcPr>
            <w:tcW w:w="2893" w:type="dxa"/>
            <w:vMerge w:val="continue"/>
            <w:vAlign w:val="center"/>
          </w:tcPr>
          <w:p>
            <w:pPr>
              <w:spacing w:line="240" w:lineRule="atLeast"/>
              <w:jc w:val="center"/>
              <w:rPr>
                <w:rFonts w:ascii="仿宋" w:hAnsi="仿宋" w:eastAsia="仿宋"/>
                <w:color w:val="auto"/>
                <w:sz w:val="21"/>
                <w:szCs w:val="21"/>
              </w:rPr>
            </w:pPr>
          </w:p>
        </w:tc>
      </w:tr>
    </w:tbl>
    <w:p>
      <w:pPr>
        <w:rPr>
          <w:b/>
          <w:bCs/>
          <w:color w:val="auto"/>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w:t>
            </w:r>
          </w:p>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行政处罚类</w:t>
            </w:r>
          </w:p>
          <w:p>
            <w:pPr>
              <w:spacing w:line="240" w:lineRule="atLeast"/>
              <w:jc w:val="center"/>
              <w:rPr>
                <w:rFonts w:hint="eastAsia" w:ascii="仿宋" w:hAnsi="仿宋" w:eastAsia="仿宋"/>
                <w:color w:val="auto"/>
                <w:sz w:val="21"/>
                <w:szCs w:val="21"/>
                <w:lang w:val="en-US" w:eastAsia="zh-CN"/>
              </w:rPr>
            </w:pPr>
            <w:r>
              <w:rPr>
                <w:rFonts w:hint="eastAsia" w:ascii="仿宋" w:hAnsi="仿宋" w:eastAsia="仿宋"/>
                <w:color w:val="auto"/>
                <w:sz w:val="21"/>
                <w:szCs w:val="21"/>
                <w:lang w:val="en-US" w:eastAsia="zh-CN"/>
              </w:rPr>
              <w:t>5</w:t>
            </w:r>
          </w:p>
        </w:tc>
        <w:tc>
          <w:tcPr>
            <w:tcW w:w="1276"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对生产经营单位</w:t>
            </w:r>
            <w:r>
              <w:rPr>
                <w:rFonts w:ascii="仿宋" w:hAnsi="仿宋" w:eastAsia="仿宋" w:cs="Arial"/>
                <w:color w:val="auto"/>
                <w:sz w:val="21"/>
                <w:szCs w:val="21"/>
                <w:shd w:val="clear" w:color="auto" w:fill="FFFFFF"/>
              </w:rPr>
              <w:t>未将事故隐患排查治理情况如实记录或者未向从业人员通报的</w:t>
            </w:r>
            <w:r>
              <w:rPr>
                <w:rFonts w:hint="eastAsia" w:ascii="仿宋" w:hAnsi="仿宋" w:eastAsia="仿宋"/>
                <w:color w:val="auto"/>
                <w:sz w:val="21"/>
                <w:szCs w:val="21"/>
              </w:rPr>
              <w:t>行政处罚</w:t>
            </w:r>
          </w:p>
        </w:tc>
        <w:tc>
          <w:tcPr>
            <w:tcW w:w="1843"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s="Arial"/>
                <w:color w:val="auto"/>
                <w:sz w:val="21"/>
                <w:szCs w:val="21"/>
                <w:shd w:val="clear" w:color="auto" w:fill="FFFFFF"/>
              </w:rPr>
              <w:t>《中华人民共和国安全生产法》</w:t>
            </w:r>
            <w:r>
              <w:rPr>
                <w:rFonts w:ascii="仿宋" w:hAnsi="仿宋" w:eastAsia="仿宋" w:cs="Arial"/>
                <w:color w:val="auto"/>
                <w:sz w:val="21"/>
                <w:szCs w:val="21"/>
                <w:shd w:val="clear" w:color="auto" w:fill="FFFFFF"/>
              </w:rPr>
              <w:t>第</w:t>
            </w:r>
            <w:r>
              <w:rPr>
                <w:rFonts w:hint="eastAsia" w:ascii="仿宋" w:hAnsi="仿宋" w:eastAsia="仿宋" w:cs="Arial"/>
                <w:color w:val="auto"/>
                <w:sz w:val="21"/>
                <w:szCs w:val="21"/>
                <w:shd w:val="clear" w:color="auto" w:fill="FFFFFF"/>
              </w:rPr>
              <w:t>九十四</w:t>
            </w:r>
            <w:r>
              <w:rPr>
                <w:rFonts w:ascii="仿宋" w:hAnsi="仿宋" w:eastAsia="仿宋" w:cs="Arial"/>
                <w:color w:val="auto"/>
                <w:sz w:val="21"/>
                <w:szCs w:val="21"/>
                <w:shd w:val="clear" w:color="auto" w:fill="FFFFFF"/>
              </w:rPr>
              <w:t>条</w:t>
            </w: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color w:val="auto"/>
                <w:sz w:val="21"/>
                <w:szCs w:val="21"/>
              </w:rPr>
            </w:pPr>
          </w:p>
        </w:tc>
      </w:tr>
    </w:tbl>
    <w:p>
      <w:pPr>
        <w:jc w:val="center"/>
        <w:rPr>
          <w:rFonts w:hint="eastAsia"/>
          <w:color w:val="auto"/>
          <w:sz w:val="21"/>
          <w:szCs w:val="21"/>
          <w:lang w:eastAsia="zh-CN"/>
        </w:rPr>
      </w:pPr>
    </w:p>
    <w:p>
      <w:pPr>
        <w:jc w:val="center"/>
        <w:rPr>
          <w:rFonts w:hint="eastAsia"/>
          <w:color w:val="auto"/>
          <w:sz w:val="21"/>
          <w:szCs w:val="21"/>
          <w:lang w:eastAsia="zh-CN"/>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行政处罚类</w:t>
            </w:r>
          </w:p>
          <w:p>
            <w:pPr>
              <w:spacing w:line="240" w:lineRule="atLeast"/>
              <w:jc w:val="center"/>
              <w:rPr>
                <w:rFonts w:hint="eastAsia" w:ascii="仿宋" w:hAnsi="仿宋" w:eastAsia="仿宋"/>
                <w:color w:val="auto"/>
                <w:sz w:val="21"/>
                <w:szCs w:val="21"/>
                <w:lang w:val="en-US" w:eastAsia="zh-CN"/>
              </w:rPr>
            </w:pPr>
            <w:r>
              <w:rPr>
                <w:rFonts w:hint="eastAsia" w:ascii="仿宋" w:hAnsi="仿宋" w:eastAsia="仿宋"/>
                <w:color w:val="auto"/>
                <w:sz w:val="21"/>
                <w:szCs w:val="21"/>
                <w:lang w:val="en-US" w:eastAsia="zh-CN"/>
              </w:rPr>
              <w:t>9</w:t>
            </w:r>
          </w:p>
        </w:tc>
        <w:tc>
          <w:tcPr>
            <w:tcW w:w="1276"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对</w:t>
            </w:r>
            <w:r>
              <w:rPr>
                <w:rFonts w:ascii="仿宋" w:hAnsi="仿宋" w:eastAsia="仿宋" w:cs="Arial"/>
                <w:color w:val="auto"/>
                <w:sz w:val="21"/>
                <w:szCs w:val="21"/>
                <w:shd w:val="clear" w:color="auto" w:fill="FFFFFF"/>
              </w:rPr>
              <w:t>生产经营单位未采取措施消除事故隐患的</w:t>
            </w:r>
            <w:r>
              <w:rPr>
                <w:rFonts w:hint="eastAsia" w:ascii="仿宋" w:hAnsi="仿宋" w:eastAsia="仿宋"/>
                <w:color w:val="auto"/>
                <w:sz w:val="21"/>
                <w:szCs w:val="21"/>
              </w:rPr>
              <w:t>行政处罚</w:t>
            </w:r>
          </w:p>
        </w:tc>
        <w:tc>
          <w:tcPr>
            <w:tcW w:w="1843"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s="Arial"/>
                <w:color w:val="auto"/>
                <w:sz w:val="21"/>
                <w:szCs w:val="21"/>
                <w:shd w:val="clear" w:color="auto" w:fill="FFFFFF"/>
              </w:rPr>
              <w:t>《中华人民共和国安全生产法》</w:t>
            </w:r>
            <w:r>
              <w:rPr>
                <w:rFonts w:ascii="仿宋" w:hAnsi="仿宋" w:eastAsia="仿宋" w:cs="Arial"/>
                <w:color w:val="auto"/>
                <w:sz w:val="21"/>
                <w:szCs w:val="21"/>
                <w:shd w:val="clear" w:color="auto" w:fill="FFFFFF"/>
              </w:rPr>
              <w:t>第</w:t>
            </w:r>
            <w:r>
              <w:rPr>
                <w:rFonts w:hint="eastAsia" w:ascii="仿宋" w:hAnsi="仿宋" w:eastAsia="仿宋" w:cs="Arial"/>
                <w:color w:val="auto"/>
                <w:sz w:val="21"/>
                <w:szCs w:val="21"/>
                <w:shd w:val="clear" w:color="auto" w:fill="FFFFFF"/>
              </w:rPr>
              <w:t>九十九</w:t>
            </w:r>
            <w:r>
              <w:rPr>
                <w:rFonts w:ascii="仿宋" w:hAnsi="仿宋" w:eastAsia="仿宋" w:cs="Arial"/>
                <w:color w:val="auto"/>
                <w:sz w:val="21"/>
                <w:szCs w:val="21"/>
                <w:shd w:val="clear" w:color="auto" w:fill="FFFFFF"/>
              </w:rPr>
              <w:t>条</w:t>
            </w: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8、法律、法规、规章规定的其他应履行的责任事项。</w:t>
            </w:r>
          </w:p>
        </w:tc>
        <w:tc>
          <w:tcPr>
            <w:tcW w:w="2893" w:type="dxa"/>
            <w:vMerge w:val="continue"/>
            <w:vAlign w:val="center"/>
          </w:tcPr>
          <w:p>
            <w:pPr>
              <w:spacing w:line="240" w:lineRule="atLeast"/>
              <w:jc w:val="center"/>
              <w:rPr>
                <w:rFonts w:ascii="仿宋" w:hAnsi="仿宋" w:eastAsia="仿宋"/>
                <w:color w:val="auto"/>
                <w:sz w:val="21"/>
                <w:szCs w:val="21"/>
              </w:rPr>
            </w:pPr>
          </w:p>
        </w:tc>
      </w:tr>
    </w:tbl>
    <w:p>
      <w:pPr>
        <w:rPr>
          <w:b/>
          <w:bCs/>
          <w:color w:val="auto"/>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行政处罚类</w:t>
            </w:r>
          </w:p>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15</w:t>
            </w:r>
          </w:p>
        </w:tc>
        <w:tc>
          <w:tcPr>
            <w:tcW w:w="1276"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对</w:t>
            </w:r>
            <w:r>
              <w:rPr>
                <w:rFonts w:ascii="仿宋" w:hAnsi="仿宋" w:eastAsia="仿宋" w:cs="Arial"/>
                <w:color w:val="auto"/>
                <w:sz w:val="21"/>
                <w:szCs w:val="21"/>
                <w:shd w:val="clear" w:color="auto" w:fill="FFFFFF"/>
              </w:rPr>
              <w:t>生产经营单位的主要负责人在本单位发生生产安全事故时，不立即组织抢救或者在事故调查处理期间擅离职守或者逃匿的</w:t>
            </w:r>
            <w:r>
              <w:rPr>
                <w:rFonts w:hint="eastAsia" w:ascii="仿宋" w:hAnsi="仿宋" w:eastAsia="仿宋"/>
                <w:color w:val="auto"/>
                <w:sz w:val="21"/>
                <w:szCs w:val="21"/>
              </w:rPr>
              <w:t>行政处罚</w:t>
            </w:r>
          </w:p>
        </w:tc>
        <w:tc>
          <w:tcPr>
            <w:tcW w:w="1843"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s="Arial"/>
                <w:color w:val="auto"/>
                <w:sz w:val="21"/>
                <w:szCs w:val="21"/>
                <w:shd w:val="clear" w:color="auto" w:fill="FFFFFF"/>
              </w:rPr>
              <w:t>《中华人民共和国安全生产法》</w:t>
            </w:r>
            <w:r>
              <w:rPr>
                <w:rFonts w:ascii="仿宋" w:hAnsi="仿宋" w:eastAsia="仿宋" w:cs="Arial"/>
                <w:color w:val="auto"/>
                <w:sz w:val="21"/>
                <w:szCs w:val="21"/>
                <w:shd w:val="clear" w:color="auto" w:fill="FFFFFF"/>
              </w:rPr>
              <w:t>第</w:t>
            </w:r>
            <w:r>
              <w:rPr>
                <w:rFonts w:hint="eastAsia" w:ascii="仿宋" w:hAnsi="仿宋" w:eastAsia="仿宋" w:cs="Arial"/>
                <w:color w:val="auto"/>
                <w:sz w:val="21"/>
                <w:szCs w:val="21"/>
                <w:shd w:val="clear" w:color="auto" w:fill="FFFFFF"/>
              </w:rPr>
              <w:t>一百零六</w:t>
            </w:r>
            <w:r>
              <w:rPr>
                <w:rFonts w:ascii="仿宋" w:hAnsi="仿宋" w:eastAsia="仿宋" w:cs="Arial"/>
                <w:color w:val="auto"/>
                <w:sz w:val="21"/>
                <w:szCs w:val="21"/>
                <w:shd w:val="clear" w:color="auto" w:fill="FFFFFF"/>
              </w:rPr>
              <w:t>条</w:t>
            </w: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8、法律、法规、规章规定的其他应履行的责任事项。</w:t>
            </w:r>
          </w:p>
        </w:tc>
        <w:tc>
          <w:tcPr>
            <w:tcW w:w="2893" w:type="dxa"/>
            <w:vMerge w:val="continue"/>
            <w:vAlign w:val="center"/>
          </w:tcPr>
          <w:p>
            <w:pPr>
              <w:spacing w:line="240" w:lineRule="atLeast"/>
              <w:jc w:val="center"/>
              <w:rPr>
                <w:rFonts w:ascii="仿宋" w:hAnsi="仿宋" w:eastAsia="仿宋"/>
                <w:color w:val="auto"/>
                <w:sz w:val="21"/>
                <w:szCs w:val="21"/>
              </w:rPr>
            </w:pPr>
          </w:p>
        </w:tc>
      </w:tr>
    </w:tbl>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（二）行政处罚类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eastAsia" w:ascii="Times New Roman" w:hAnsi="Times New Roman" w:eastAsia="黑体" w:cs="Times New Roman"/>
                <w:b/>
                <w:bCs/>
                <w:color w:val="auto"/>
                <w:sz w:val="21"/>
                <w:szCs w:val="21"/>
              </w:rPr>
            </w:pPr>
            <w:r>
              <w:rPr>
                <w:rFonts w:hint="eastAsia"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行政处罚类</w:t>
            </w:r>
          </w:p>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16</w:t>
            </w:r>
          </w:p>
        </w:tc>
        <w:tc>
          <w:tcPr>
            <w:tcW w:w="1276"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对</w:t>
            </w:r>
            <w:r>
              <w:rPr>
                <w:rFonts w:ascii="仿宋" w:hAnsi="仿宋" w:eastAsia="仿宋" w:cs="Arial"/>
                <w:color w:val="auto"/>
                <w:sz w:val="21"/>
                <w:szCs w:val="21"/>
                <w:shd w:val="clear" w:color="auto" w:fill="FFFFFF"/>
              </w:rPr>
              <w:t>发生生产安全事故，</w:t>
            </w:r>
            <w:r>
              <w:rPr>
                <w:rFonts w:hint="eastAsia" w:ascii="仿宋" w:hAnsi="仿宋" w:eastAsia="仿宋" w:cs="Arial"/>
                <w:color w:val="auto"/>
                <w:sz w:val="21"/>
                <w:szCs w:val="21"/>
                <w:shd w:val="clear" w:color="auto" w:fill="FFFFFF"/>
                <w:lang w:val="en-US" w:eastAsia="zh-CN"/>
              </w:rPr>
              <w:t>负有责任的生产经营单位</w:t>
            </w:r>
            <w:r>
              <w:rPr>
                <w:rFonts w:ascii="仿宋" w:hAnsi="仿宋" w:eastAsia="仿宋" w:cs="Arial"/>
                <w:color w:val="auto"/>
                <w:sz w:val="21"/>
                <w:szCs w:val="21"/>
                <w:shd w:val="clear" w:color="auto" w:fill="FFFFFF"/>
              </w:rPr>
              <w:t>的</w:t>
            </w:r>
            <w:r>
              <w:rPr>
                <w:rFonts w:hint="eastAsia" w:ascii="仿宋" w:hAnsi="仿宋" w:eastAsia="仿宋"/>
                <w:color w:val="auto"/>
                <w:sz w:val="21"/>
                <w:szCs w:val="21"/>
              </w:rPr>
              <w:t>行政处罚</w:t>
            </w:r>
          </w:p>
        </w:tc>
        <w:tc>
          <w:tcPr>
            <w:tcW w:w="1843" w:type="dxa"/>
            <w:vMerge w:val="restart"/>
            <w:vAlign w:val="center"/>
          </w:tcPr>
          <w:p>
            <w:pPr>
              <w:spacing w:line="240" w:lineRule="atLeast"/>
              <w:jc w:val="center"/>
              <w:rPr>
                <w:rFonts w:ascii="仿宋" w:hAnsi="仿宋" w:eastAsia="仿宋" w:cs="Arial"/>
                <w:color w:val="auto"/>
                <w:sz w:val="21"/>
                <w:szCs w:val="21"/>
                <w:shd w:val="clear" w:color="auto" w:fill="FFFFFF"/>
              </w:rPr>
            </w:pPr>
            <w:r>
              <w:rPr>
                <w:rFonts w:hint="eastAsia" w:ascii="仿宋" w:hAnsi="仿宋" w:eastAsia="仿宋" w:cs="Arial"/>
                <w:color w:val="auto"/>
                <w:sz w:val="21"/>
                <w:szCs w:val="21"/>
                <w:shd w:val="clear" w:color="auto" w:fill="FFFFFF"/>
              </w:rPr>
              <w:t>《中华人民共和国安全生产法》</w:t>
            </w:r>
            <w:r>
              <w:rPr>
                <w:rFonts w:ascii="仿宋" w:hAnsi="仿宋" w:eastAsia="仿宋" w:cs="Arial"/>
                <w:color w:val="auto"/>
                <w:sz w:val="21"/>
                <w:szCs w:val="21"/>
                <w:shd w:val="clear" w:color="auto" w:fill="FFFFFF"/>
              </w:rPr>
              <w:t>第</w:t>
            </w:r>
            <w:r>
              <w:rPr>
                <w:rFonts w:hint="eastAsia" w:ascii="仿宋" w:hAnsi="仿宋" w:eastAsia="仿宋" w:cs="Arial"/>
                <w:color w:val="auto"/>
                <w:sz w:val="21"/>
                <w:szCs w:val="21"/>
                <w:shd w:val="clear" w:color="auto" w:fill="FFFFFF"/>
              </w:rPr>
              <w:t>一百零</w:t>
            </w:r>
            <w:r>
              <w:rPr>
                <w:rFonts w:hint="eastAsia" w:ascii="仿宋" w:hAnsi="仿宋" w:eastAsia="仿宋" w:cs="Arial"/>
                <w:color w:val="auto"/>
                <w:sz w:val="21"/>
                <w:szCs w:val="21"/>
                <w:shd w:val="clear" w:color="auto" w:fill="FFFFFF"/>
                <w:lang w:val="en-US" w:eastAsia="zh-CN"/>
              </w:rPr>
              <w:t>九</w:t>
            </w:r>
            <w:r>
              <w:rPr>
                <w:rFonts w:ascii="仿宋" w:hAnsi="仿宋" w:eastAsia="仿宋" w:cs="Arial"/>
                <w:color w:val="auto"/>
                <w:sz w:val="21"/>
                <w:szCs w:val="21"/>
                <w:shd w:val="clear" w:color="auto" w:fill="FFFFFF"/>
              </w:rPr>
              <w:t>条</w:t>
            </w:r>
          </w:p>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s="Arial"/>
                <w:color w:val="auto"/>
                <w:sz w:val="21"/>
                <w:szCs w:val="21"/>
                <w:shd w:val="clear" w:color="auto" w:fill="FFFFFF"/>
                <w:lang w:eastAsia="zh-CN"/>
              </w:rPr>
              <w:t>《</w:t>
            </w:r>
            <w:r>
              <w:rPr>
                <w:rFonts w:hint="eastAsia" w:ascii="仿宋" w:hAnsi="仿宋" w:eastAsia="仿宋" w:cs="Arial"/>
                <w:color w:val="auto"/>
                <w:sz w:val="21"/>
                <w:szCs w:val="21"/>
                <w:shd w:val="clear" w:color="auto" w:fill="FFFFFF"/>
              </w:rPr>
              <w:t>生产安全事故报告和调查处理条例</w:t>
            </w:r>
            <w:r>
              <w:rPr>
                <w:rFonts w:hint="eastAsia" w:ascii="仿宋" w:hAnsi="仿宋" w:eastAsia="仿宋" w:cs="Arial"/>
                <w:color w:val="auto"/>
                <w:sz w:val="21"/>
                <w:szCs w:val="21"/>
                <w:shd w:val="clear" w:color="auto" w:fill="FFFFFF"/>
                <w:lang w:eastAsia="zh-CN"/>
              </w:rPr>
              <w:t>》</w:t>
            </w:r>
            <w:r>
              <w:rPr>
                <w:rFonts w:hint="eastAsia" w:ascii="仿宋" w:hAnsi="仿宋" w:eastAsia="仿宋" w:cs="Arial"/>
                <w:color w:val="auto"/>
                <w:sz w:val="21"/>
                <w:szCs w:val="21"/>
                <w:shd w:val="clear" w:color="auto" w:fill="FFFFFF"/>
                <w:lang w:val="en-US" w:eastAsia="zh-CN"/>
              </w:rPr>
              <w:t>第三十六、四十条</w:t>
            </w: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1、立案责任（立案岗）：对检查中发现、群众举报投诉或经有关部门移送的此类违法案件予以审查；经机关负责人批注，决定是否立案。</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2、调查责任（调查岗）：进行调查取证；执法人员不得少于两人；调查取证时应出示执法证件；依法需要听证的，告知当事人听证权；允许当事人陈述申辩；形成调查终结报告。</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3、审查责任（审查岗）：对案件违法事实、依据、调查取证、法律适用、处罚种类和幅度、当事人陈述理由等进行法制审核，提出处理意见。</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4、告知责任（告知岗）：在作出行政处罚决定前，书面告知当事人拟做出处罚决定的事实、理由、依据、处罚内容，以及当事人享有的陈述权、申辩权、听证权等。</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5、决定责任（决定岗）：依法需要给予行政处罚的，经机关负责人批准，制作《行政处罚决定书》，载明违法事实和证据、处罚依据和内容、权利救济途径和期限等内容。</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6、送达责任（送达岗）：7日内，依法将行政处罚决定书送达当事人。</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7、执行责任（执行岗）：监督当事人在法定期限内履行生效的行政处罚决定。当事人在法定期限内没有申请行政复议或者提起行政诉讼，又不履行的，可申请人民法院强制执行。</w:t>
            </w:r>
          </w:p>
        </w:tc>
        <w:tc>
          <w:tcPr>
            <w:tcW w:w="2893" w:type="dxa"/>
            <w:vMerge w:val="continue"/>
            <w:vAlign w:val="center"/>
          </w:tcPr>
          <w:p>
            <w:pPr>
              <w:spacing w:line="240" w:lineRule="atLeast"/>
              <w:jc w:val="center"/>
              <w:rPr>
                <w:rFonts w:ascii="仿宋" w:hAnsi="仿宋" w:eastAsia="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rFonts w:ascii="仿宋" w:hAnsi="仿宋" w:eastAsia="仿宋"/>
                <w:color w:val="auto"/>
                <w:sz w:val="21"/>
                <w:szCs w:val="21"/>
              </w:rPr>
            </w:pPr>
          </w:p>
        </w:tc>
        <w:tc>
          <w:tcPr>
            <w:tcW w:w="1276" w:type="dxa"/>
            <w:vMerge w:val="continue"/>
            <w:vAlign w:val="center"/>
          </w:tcPr>
          <w:p>
            <w:pPr>
              <w:spacing w:line="240" w:lineRule="atLeast"/>
              <w:jc w:val="center"/>
              <w:rPr>
                <w:rFonts w:ascii="仿宋" w:hAnsi="仿宋" w:eastAsia="仿宋"/>
                <w:color w:val="auto"/>
                <w:sz w:val="21"/>
                <w:szCs w:val="21"/>
              </w:rPr>
            </w:pPr>
          </w:p>
        </w:tc>
        <w:tc>
          <w:tcPr>
            <w:tcW w:w="1843" w:type="dxa"/>
            <w:vMerge w:val="continue"/>
            <w:vAlign w:val="center"/>
          </w:tcPr>
          <w:p>
            <w:pPr>
              <w:spacing w:line="240" w:lineRule="atLeast"/>
              <w:jc w:val="center"/>
              <w:rPr>
                <w:rFonts w:ascii="仿宋" w:hAnsi="仿宋" w:eastAsia="仿宋"/>
                <w:color w:val="auto"/>
                <w:sz w:val="21"/>
                <w:szCs w:val="21"/>
              </w:rPr>
            </w:pPr>
          </w:p>
        </w:tc>
        <w:tc>
          <w:tcPr>
            <w:tcW w:w="7738"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8、法律、法规、规章规定的其他应履行的责任事项。</w:t>
            </w:r>
          </w:p>
        </w:tc>
        <w:tc>
          <w:tcPr>
            <w:tcW w:w="2893" w:type="dxa"/>
            <w:vMerge w:val="continue"/>
            <w:vAlign w:val="center"/>
          </w:tcPr>
          <w:p>
            <w:pPr>
              <w:spacing w:line="240" w:lineRule="atLeast"/>
              <w:jc w:val="center"/>
              <w:rPr>
                <w:rFonts w:ascii="仿宋" w:hAnsi="仿宋" w:eastAsia="仿宋"/>
                <w:color w:val="auto"/>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hint="default" w:ascii="Times New Roman" w:hAnsi="Times New Roman" w:eastAsia="楷体" w:cs="Times New Roman"/>
          <w:color w:val="auto"/>
          <w:sz w:val="32"/>
          <w:szCs w:val="32"/>
        </w:rPr>
      </w:pPr>
      <w:r>
        <w:rPr>
          <w:rFonts w:hint="default" w:ascii="Times New Roman" w:hAnsi="Times New Roman" w:eastAsia="楷体" w:cs="Times New Roman"/>
          <w:color w:val="auto"/>
          <w:sz w:val="32"/>
          <w:szCs w:val="32"/>
        </w:rPr>
        <w:t>（</w:t>
      </w:r>
      <w:r>
        <w:rPr>
          <w:rFonts w:hint="eastAsia" w:ascii="Times New Roman" w:hAnsi="Times New Roman" w:eastAsia="楷体" w:cs="Times New Roman"/>
          <w:color w:val="auto"/>
          <w:sz w:val="32"/>
          <w:szCs w:val="32"/>
          <w:lang w:eastAsia="zh-CN"/>
        </w:rPr>
        <w:t>三</w:t>
      </w:r>
      <w:r>
        <w:rPr>
          <w:rFonts w:hint="default" w:ascii="Times New Roman" w:hAnsi="Times New Roman" w:eastAsia="楷体" w:cs="Times New Roman"/>
          <w:color w:val="auto"/>
          <w:sz w:val="32"/>
          <w:szCs w:val="32"/>
        </w:rPr>
        <w:t>）</w:t>
      </w:r>
      <w:r>
        <w:rPr>
          <w:rFonts w:hint="eastAsia" w:ascii="Times New Roman" w:hAnsi="Times New Roman" w:eastAsia="楷体" w:cs="Times New Roman"/>
          <w:color w:val="auto"/>
          <w:sz w:val="32"/>
          <w:szCs w:val="32"/>
          <w:lang w:eastAsia="zh-CN"/>
        </w:rPr>
        <w:t>行政强制</w:t>
      </w:r>
      <w:r>
        <w:rPr>
          <w:rFonts w:hint="default" w:ascii="Times New Roman" w:hAnsi="Times New Roman" w:eastAsia="楷体" w:cs="Times New Roman"/>
          <w:color w:val="auto"/>
          <w:sz w:val="32"/>
          <w:szCs w:val="32"/>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sz w:val="21"/>
                <w:szCs w:val="21"/>
                <w:lang w:eastAsia="zh-CN"/>
              </w:rPr>
              <w:t>行政强制</w:t>
            </w:r>
            <w:r>
              <w:rPr>
                <w:rFonts w:hint="default" w:ascii="Times New Roman" w:hAnsi="Times New Roman" w:eastAsia="仿宋" w:cs="Times New Roman"/>
                <w:color w:val="auto"/>
                <w:sz w:val="21"/>
                <w:szCs w:val="21"/>
              </w:rPr>
              <w:t>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kern w:val="0"/>
                <w:sz w:val="21"/>
                <w:szCs w:val="21"/>
                <w:lang w:eastAsia="zh-CN"/>
              </w:rPr>
              <w:t>对查封违法生产、储存、使用、经营危险化学品的场所，扣押违法生产、储存、使用、经营、运输的危险化学品以及用于违法生产、使用、运输危险化学品的原材料、设备、运输工具的</w:t>
            </w:r>
            <w:r>
              <w:rPr>
                <w:rFonts w:hint="default" w:ascii="Times New Roman" w:hAnsi="Times New Roman" w:eastAsia="仿宋" w:cs="Times New Roman"/>
                <w:color w:val="auto"/>
                <w:kern w:val="0"/>
                <w:sz w:val="21"/>
                <w:szCs w:val="21"/>
                <w:lang w:eastAsia="zh-CN"/>
              </w:rPr>
              <w:t>行政</w:t>
            </w:r>
            <w:r>
              <w:rPr>
                <w:rFonts w:hint="eastAsia" w:ascii="Times New Roman" w:hAnsi="Times New Roman" w:eastAsia="仿宋" w:cs="Times New Roman"/>
                <w:color w:val="auto"/>
                <w:kern w:val="0"/>
                <w:sz w:val="21"/>
                <w:szCs w:val="21"/>
                <w:lang w:eastAsia="zh-CN"/>
              </w:rPr>
              <w:t>强制</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lang w:eastAsia="zh-CN"/>
              </w:rPr>
            </w:pPr>
            <w:r>
              <w:rPr>
                <w:rFonts w:hint="eastAsia" w:ascii="Times New Roman" w:hAnsi="Times New Roman" w:eastAsia="仿宋" w:cs="Times New Roman"/>
                <w:color w:val="auto"/>
                <w:kern w:val="0"/>
                <w:sz w:val="21"/>
                <w:szCs w:val="21"/>
                <w:lang w:eastAsia="zh-CN"/>
              </w:rPr>
              <w:t>《危险化学品安全管理条例》</w:t>
            </w:r>
            <w:r>
              <w:rPr>
                <w:rFonts w:hint="eastAsia" w:ascii="Times New Roman" w:hAnsi="Times New Roman" w:eastAsia="仿宋" w:cs="Times New Roman"/>
                <w:color w:val="auto"/>
                <w:sz w:val="21"/>
                <w:szCs w:val="21"/>
                <w:lang w:eastAsia="zh-CN"/>
              </w:rPr>
              <w:t>第七条第一款</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1、催告责任（催告岗）：对存在重大事故隐患的生产经营单位作出停产停业、停止施工、停止使用相关设施或者设备的决定：催告生产经营单位认真履行监督管理部门的上述决定。</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2、决定责任（决定岗）：生产经营单位拒不执行停产停业、停止施工、停止使用相关设施或者设备的决定：报机关负责人作出停止供电行政强制措施的决定。</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3、执行责任（执行岗）：采取书面通知供电的单位履行决定。提前二十四小时通知生产经营单位。</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4、事后监管责任（事后监管岗）：加强对执行行政强制措施的监督检查：生产经营单位依法履行行政决定、采取相应措施消除事故隐患的，应当及时解除行政强制措施</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color w:val="auto"/>
          <w:sz w:val="21"/>
          <w:szCs w:val="21"/>
        </w:rPr>
      </w:pP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三</w:t>
      </w: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行政强制</w:t>
      </w:r>
      <w:r>
        <w:rPr>
          <w:rFonts w:hint="default" w:ascii="Times New Roman" w:hAnsi="Times New Roman" w:eastAsia="楷体" w:cs="Times New Roman"/>
          <w:color w:val="auto"/>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sz w:val="21"/>
                <w:szCs w:val="21"/>
                <w:lang w:eastAsia="zh-CN"/>
              </w:rPr>
              <w:t>行政强制</w:t>
            </w:r>
            <w:r>
              <w:rPr>
                <w:rFonts w:hint="default" w:ascii="Times New Roman" w:hAnsi="Times New Roman" w:eastAsia="仿宋" w:cs="Times New Roman"/>
                <w:color w:val="auto"/>
                <w:sz w:val="21"/>
                <w:szCs w:val="21"/>
              </w:rPr>
              <w:t>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kern w:val="0"/>
                <w:sz w:val="21"/>
                <w:szCs w:val="21"/>
                <w:lang w:eastAsia="zh-CN"/>
              </w:rPr>
              <w:t>对在职责范围内进行易制毒化学品检查，依法扣押相关的证据材料和违法物品；</w:t>
            </w:r>
            <w:r>
              <w:rPr>
                <w:rFonts w:hint="default" w:ascii="Times New Roman" w:hAnsi="Times New Roman" w:eastAsia="仿宋" w:cs="Times New Roman"/>
                <w:color w:val="auto"/>
                <w:kern w:val="0"/>
                <w:sz w:val="21"/>
                <w:szCs w:val="21"/>
                <w:lang w:eastAsia="zh-CN"/>
              </w:rPr>
              <w:t>临时查封有关场所</w:t>
            </w:r>
            <w:r>
              <w:rPr>
                <w:rFonts w:hint="eastAsia" w:ascii="Times New Roman" w:hAnsi="Times New Roman" w:eastAsia="仿宋" w:cs="Times New Roman"/>
                <w:color w:val="auto"/>
                <w:kern w:val="0"/>
                <w:sz w:val="21"/>
                <w:szCs w:val="21"/>
                <w:lang w:eastAsia="zh-CN"/>
              </w:rPr>
              <w:t>的</w:t>
            </w:r>
            <w:r>
              <w:rPr>
                <w:rFonts w:hint="default" w:ascii="Times New Roman" w:hAnsi="Times New Roman" w:eastAsia="仿宋" w:cs="Times New Roman"/>
                <w:color w:val="auto"/>
                <w:kern w:val="0"/>
                <w:sz w:val="21"/>
                <w:szCs w:val="21"/>
                <w:lang w:eastAsia="zh-CN"/>
              </w:rPr>
              <w:t>行政</w:t>
            </w:r>
            <w:r>
              <w:rPr>
                <w:rFonts w:hint="eastAsia" w:ascii="Times New Roman" w:hAnsi="Times New Roman" w:eastAsia="仿宋" w:cs="Times New Roman"/>
                <w:color w:val="auto"/>
                <w:kern w:val="0"/>
                <w:sz w:val="21"/>
                <w:szCs w:val="21"/>
                <w:lang w:eastAsia="zh-CN"/>
              </w:rPr>
              <w:t>强制</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lang w:eastAsia="zh-CN"/>
              </w:rPr>
            </w:pPr>
            <w:r>
              <w:rPr>
                <w:rFonts w:hint="eastAsia" w:ascii="Times New Roman" w:hAnsi="Times New Roman" w:eastAsia="仿宋" w:cs="Times New Roman"/>
                <w:color w:val="auto"/>
                <w:kern w:val="0"/>
                <w:sz w:val="21"/>
                <w:szCs w:val="21"/>
                <w:lang w:eastAsia="zh-CN"/>
              </w:rPr>
              <w:t>《易制毒化学品管理条例》</w:t>
            </w:r>
            <w:r>
              <w:rPr>
                <w:rFonts w:hint="eastAsia" w:ascii="Times New Roman" w:hAnsi="Times New Roman" w:eastAsia="仿宋" w:cs="Times New Roman"/>
                <w:color w:val="auto"/>
                <w:sz w:val="21"/>
                <w:szCs w:val="21"/>
                <w:lang w:eastAsia="zh-CN"/>
              </w:rPr>
              <w:t>第三十二条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1、催告责任（催告岗）：对存在重大事故隐患的生产经营单位作出停产停业、停止施工、停止使用相关设施或者设备的决定：催告生产经营单位认真履行监督管理部门的上述决定。</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2、决定责任（决定岗）：生产经营单位拒不执行停产停业、停止施工、停止使用相关设施或者设备的决定：报机关负责人作出停止供电行政强制措施的决定。</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3、执行责任（执行岗）：采取书面通知供电的单位履行决定。提前二十四小时通知生产经营单位。</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4、事后监管责任（事后监管岗）：加强对执行行政强制措施的监督检查：生产经营单位依法履行行政决定、采取相应措施消除事故隐患的，应当及时解除行政强制措施</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color w:val="auto"/>
          <w:sz w:val="21"/>
          <w:szCs w:val="21"/>
        </w:rPr>
      </w:pP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三</w:t>
      </w: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行政强制</w:t>
      </w:r>
      <w:r>
        <w:rPr>
          <w:rFonts w:hint="default" w:ascii="Times New Roman" w:hAnsi="Times New Roman" w:eastAsia="楷体" w:cs="Times New Roman"/>
          <w:color w:val="auto"/>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sz w:val="21"/>
                <w:szCs w:val="21"/>
                <w:lang w:eastAsia="zh-CN"/>
              </w:rPr>
              <w:t>行政强制</w:t>
            </w:r>
            <w:r>
              <w:rPr>
                <w:rFonts w:hint="default" w:ascii="Times New Roman" w:hAnsi="Times New Roman" w:eastAsia="仿宋" w:cs="Times New Roman"/>
                <w:color w:val="auto"/>
                <w:sz w:val="21"/>
                <w:szCs w:val="21"/>
              </w:rPr>
              <w:t>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kern w:val="0"/>
                <w:sz w:val="21"/>
                <w:szCs w:val="21"/>
                <w:lang w:eastAsia="zh-CN"/>
              </w:rPr>
              <w:t>对责令从危险区域内撤出作业人员，责令暂时停产停业或者停止使用的</w:t>
            </w:r>
            <w:r>
              <w:rPr>
                <w:rFonts w:hint="default" w:ascii="Times New Roman" w:hAnsi="Times New Roman" w:eastAsia="仿宋" w:cs="Times New Roman"/>
                <w:color w:val="auto"/>
                <w:kern w:val="0"/>
                <w:sz w:val="21"/>
                <w:szCs w:val="21"/>
                <w:lang w:eastAsia="zh-CN"/>
              </w:rPr>
              <w:t>行政</w:t>
            </w:r>
            <w:r>
              <w:rPr>
                <w:rFonts w:hint="eastAsia" w:ascii="Times New Roman" w:hAnsi="Times New Roman" w:eastAsia="仿宋" w:cs="Times New Roman"/>
                <w:color w:val="auto"/>
                <w:kern w:val="0"/>
                <w:sz w:val="21"/>
                <w:szCs w:val="21"/>
                <w:lang w:eastAsia="zh-CN"/>
              </w:rPr>
              <w:t>强制</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lang w:eastAsia="zh-CN"/>
              </w:rPr>
            </w:pPr>
            <w:r>
              <w:rPr>
                <w:rFonts w:hint="eastAsia" w:ascii="Times New Roman" w:hAnsi="Times New Roman" w:eastAsia="仿宋" w:cs="Times New Roman"/>
                <w:color w:val="auto"/>
                <w:kern w:val="0"/>
                <w:sz w:val="21"/>
                <w:szCs w:val="21"/>
                <w:lang w:eastAsia="zh-CN"/>
              </w:rPr>
              <w:t>《中华人民共和国安全生产法》</w:t>
            </w:r>
            <w:r>
              <w:rPr>
                <w:rFonts w:hint="eastAsia" w:ascii="Times New Roman" w:hAnsi="Times New Roman" w:eastAsia="仿宋" w:cs="Times New Roman"/>
                <w:color w:val="auto"/>
                <w:sz w:val="21"/>
                <w:szCs w:val="21"/>
                <w:lang w:eastAsia="zh-CN"/>
              </w:rPr>
              <w:t>第六十二条第一款第三项</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1、催告责任（催告岗）：对存在重大事故隐患的生产经营单位作出停产停业、停止施工、停止使用相关设施或者设备的决定：催告生产经营单位认真履行监督管理部门的上述决定。</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2、决定责任（决定岗）：生产经营单位拒不执行停产停业、停止施工、停止使用相关设施或者设备的决定：报机关负责人作出停止供电行政强制措施的决定。</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3、执行责任（执行岗）：采取书面通知供电的单位履行决定。提前二十四小时通知生产经营单位。</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4、事后监管责任（事后监管岗）：加强对执行行政强制措施的监督检查：生产经营单位依法履行行政决定、采取相应措施消除事故隐患的，应当及时解除行政强制措施</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color w:val="auto"/>
          <w:sz w:val="21"/>
          <w:szCs w:val="21"/>
        </w:rPr>
      </w:pP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三</w:t>
      </w: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行政强制</w:t>
      </w:r>
      <w:r>
        <w:rPr>
          <w:rFonts w:hint="default" w:ascii="Times New Roman" w:hAnsi="Times New Roman" w:eastAsia="楷体" w:cs="Times New Roman"/>
          <w:color w:val="auto"/>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sz w:val="21"/>
                <w:szCs w:val="21"/>
                <w:lang w:eastAsia="zh-CN"/>
              </w:rPr>
              <w:t>行政强制</w:t>
            </w:r>
            <w:r>
              <w:rPr>
                <w:rFonts w:hint="default" w:ascii="Times New Roman" w:hAnsi="Times New Roman" w:eastAsia="仿宋" w:cs="Times New Roman"/>
                <w:color w:val="auto"/>
                <w:sz w:val="21"/>
                <w:szCs w:val="21"/>
              </w:rPr>
              <w:t>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kern w:val="0"/>
                <w:sz w:val="21"/>
                <w:szCs w:val="21"/>
                <w:lang w:eastAsia="zh-CN"/>
              </w:rPr>
              <w:t>对查封、扣押不符合保障安全生产的国家标准或者行业标准的设施、设备、器材的</w:t>
            </w:r>
            <w:r>
              <w:rPr>
                <w:rFonts w:hint="default" w:ascii="Times New Roman" w:hAnsi="Times New Roman" w:eastAsia="仿宋" w:cs="Times New Roman"/>
                <w:color w:val="auto"/>
                <w:kern w:val="0"/>
                <w:sz w:val="21"/>
                <w:szCs w:val="21"/>
                <w:lang w:eastAsia="zh-CN"/>
              </w:rPr>
              <w:t>行政</w:t>
            </w:r>
            <w:r>
              <w:rPr>
                <w:rFonts w:hint="eastAsia" w:ascii="Times New Roman" w:hAnsi="Times New Roman" w:eastAsia="仿宋" w:cs="Times New Roman"/>
                <w:color w:val="auto"/>
                <w:kern w:val="0"/>
                <w:sz w:val="21"/>
                <w:szCs w:val="21"/>
                <w:lang w:eastAsia="zh-CN"/>
              </w:rPr>
              <w:t>强制</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lang w:eastAsia="zh-CN"/>
              </w:rPr>
            </w:pPr>
            <w:r>
              <w:rPr>
                <w:rFonts w:hint="eastAsia" w:ascii="Times New Roman" w:hAnsi="Times New Roman" w:eastAsia="仿宋" w:cs="Times New Roman"/>
                <w:color w:val="auto"/>
                <w:kern w:val="0"/>
                <w:sz w:val="21"/>
                <w:szCs w:val="21"/>
                <w:lang w:eastAsia="zh-CN"/>
              </w:rPr>
              <w:t>《中华人民共和国安全生产法》</w:t>
            </w:r>
            <w:r>
              <w:rPr>
                <w:rFonts w:hint="eastAsia" w:ascii="Times New Roman" w:hAnsi="Times New Roman" w:eastAsia="仿宋" w:cs="Times New Roman"/>
                <w:color w:val="auto"/>
                <w:sz w:val="21"/>
                <w:szCs w:val="21"/>
                <w:lang w:eastAsia="zh-CN"/>
              </w:rPr>
              <w:t>第六十二条第一款第四项</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1、催告责任（催告岗）：对存在重大事故隐患的生产经营单位作出停产停业、停止施工、停止使用相关设施或者设备的决定：催告生产经营单位认真履行监督管理部门的上述决定。</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2、决定责任（决定岗）：生产经营单位拒不执行停产停业、停止施工、停止使用相关设施或者设备的决定：报机关负责人作出停止供电行政强制措施的决定。</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3、执行责任（执行岗）：采取书面通知供电的单位履行决定。提前二十四小时通知生产经营单位。</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4、事后监管责任（事后监管岗）：加强对执行行政强制措施的监督检查：生产经营单位依法履行行政决定、采取相应措施消除事故隐患的，应当及时解除行政强制措施</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color w:val="auto"/>
          <w:sz w:val="21"/>
          <w:szCs w:val="21"/>
        </w:rPr>
      </w:pP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三</w:t>
      </w: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行政强制</w:t>
      </w:r>
      <w:r>
        <w:rPr>
          <w:rFonts w:hint="default" w:ascii="Times New Roman" w:hAnsi="Times New Roman" w:eastAsia="楷体" w:cs="Times New Roman"/>
          <w:color w:val="auto"/>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sz w:val="21"/>
                <w:szCs w:val="21"/>
                <w:lang w:eastAsia="zh-CN"/>
              </w:rPr>
              <w:t>行政强制</w:t>
            </w:r>
            <w:r>
              <w:rPr>
                <w:rFonts w:hint="default" w:ascii="Times New Roman" w:hAnsi="Times New Roman" w:eastAsia="仿宋" w:cs="Times New Roman"/>
                <w:color w:val="auto"/>
                <w:sz w:val="21"/>
                <w:szCs w:val="21"/>
              </w:rPr>
              <w:t>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kern w:val="0"/>
                <w:sz w:val="21"/>
                <w:szCs w:val="21"/>
                <w:lang w:eastAsia="zh-CN"/>
              </w:rPr>
              <w:t>对危险化学品生产企业的</w:t>
            </w:r>
            <w:r>
              <w:rPr>
                <w:rFonts w:hint="default" w:ascii="Times New Roman" w:hAnsi="Times New Roman" w:eastAsia="仿宋" w:cs="Times New Roman"/>
                <w:color w:val="auto"/>
                <w:kern w:val="0"/>
                <w:sz w:val="21"/>
                <w:szCs w:val="21"/>
                <w:lang w:eastAsia="zh-CN"/>
              </w:rPr>
              <w:t>行政</w:t>
            </w:r>
            <w:r>
              <w:rPr>
                <w:rFonts w:hint="eastAsia" w:ascii="Times New Roman" w:hAnsi="Times New Roman" w:eastAsia="仿宋" w:cs="Times New Roman"/>
                <w:color w:val="auto"/>
                <w:kern w:val="0"/>
                <w:sz w:val="21"/>
                <w:szCs w:val="21"/>
                <w:lang w:eastAsia="zh-CN"/>
              </w:rPr>
              <w:t>强制</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lang w:eastAsia="zh-CN"/>
              </w:rPr>
            </w:pPr>
            <w:r>
              <w:rPr>
                <w:rFonts w:hint="eastAsia" w:ascii="Times New Roman" w:hAnsi="Times New Roman" w:eastAsia="仿宋" w:cs="Times New Roman"/>
                <w:color w:val="auto"/>
                <w:kern w:val="0"/>
                <w:sz w:val="21"/>
                <w:szCs w:val="21"/>
                <w:lang w:eastAsia="zh-CN"/>
              </w:rPr>
              <w:t>《中华人民共和国安全生产法》</w:t>
            </w:r>
            <w:r>
              <w:rPr>
                <w:rFonts w:hint="eastAsia" w:ascii="Times New Roman" w:hAnsi="Times New Roman" w:eastAsia="仿宋" w:cs="Times New Roman"/>
                <w:color w:val="auto"/>
                <w:sz w:val="21"/>
                <w:szCs w:val="21"/>
                <w:lang w:eastAsia="zh-CN"/>
              </w:rPr>
              <w:t>第六十七条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1、催告责任（催告岗）：对存在重大事故隐患的生产经营单位作出停产停业、停止施工、停止使用相关设施或者设备的决定：催告生产经营单位认真履行监督管理部门的上述决定。</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2、决定责任（决定岗）：生产经营单位拒不执行停产停业、停止施工、停止使用相关设施或者设备的决定：报机关负责人作出停止供电行政强制措施的决定。</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3、执行责任（执行岗）：采取书面通知供电的单位履行决定。提前二十四小时通知生产经营单位。</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4、事后监管责任（事后监管岗）：加强对执行行政强制措施的监督检查：生产经营单位依法履行行政决定、采取相应措施消除事故隐患的，应当及时解除行政强制措施</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jc w:val="center"/>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w:t>
      </w:r>
      <w:r>
        <w:rPr>
          <w:rFonts w:hint="default" w:ascii="方正小标宋简体" w:hAnsi="方正小标宋简体" w:eastAsia="方正小标宋简体" w:cs="方正小标宋简体"/>
          <w:sz w:val="44"/>
          <w:szCs w:val="44"/>
          <w:lang w:eastAsia="zh-CN"/>
        </w:rPr>
        <w:t>行政执法权责清单、岗责体系</w:t>
      </w:r>
    </w:p>
    <w:p>
      <w:pPr>
        <w:jc w:val="center"/>
        <w:rPr>
          <w:rFonts w:hint="default" w:ascii="Times New Roman" w:hAnsi="Times New Roman" w:eastAsia="楷体" w:cs="Times New Roman"/>
          <w:color w:val="auto"/>
          <w:sz w:val="21"/>
          <w:szCs w:val="21"/>
        </w:rPr>
      </w:pP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三</w:t>
      </w:r>
      <w:r>
        <w:rPr>
          <w:rFonts w:hint="default" w:ascii="Times New Roman" w:hAnsi="Times New Roman" w:eastAsia="楷体" w:cs="Times New Roman"/>
          <w:color w:val="auto"/>
          <w:sz w:val="21"/>
          <w:szCs w:val="21"/>
        </w:rPr>
        <w:t>）</w:t>
      </w:r>
      <w:r>
        <w:rPr>
          <w:rFonts w:hint="eastAsia" w:ascii="Times New Roman" w:hAnsi="Times New Roman" w:eastAsia="楷体" w:cs="Times New Roman"/>
          <w:color w:val="auto"/>
          <w:sz w:val="21"/>
          <w:szCs w:val="21"/>
          <w:lang w:eastAsia="zh-CN"/>
        </w:rPr>
        <w:t>行政强制</w:t>
      </w:r>
      <w:r>
        <w:rPr>
          <w:rFonts w:hint="default" w:ascii="Times New Roman" w:hAnsi="Times New Roman" w:eastAsia="楷体" w:cs="Times New Roman"/>
          <w:color w:val="auto"/>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w:t>
            </w:r>
          </w:p>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类别</w:t>
            </w:r>
          </w:p>
        </w:tc>
        <w:tc>
          <w:tcPr>
            <w:tcW w:w="1276"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职权名称</w:t>
            </w:r>
          </w:p>
        </w:tc>
        <w:tc>
          <w:tcPr>
            <w:tcW w:w="184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实施依据</w:t>
            </w:r>
          </w:p>
        </w:tc>
        <w:tc>
          <w:tcPr>
            <w:tcW w:w="7738"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责任事项（岗位责任）</w:t>
            </w:r>
          </w:p>
        </w:tc>
        <w:tc>
          <w:tcPr>
            <w:tcW w:w="2893" w:type="dxa"/>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817"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sz w:val="21"/>
                <w:szCs w:val="21"/>
                <w:lang w:eastAsia="zh-CN"/>
              </w:rPr>
              <w:t>行政强制</w:t>
            </w:r>
            <w:r>
              <w:rPr>
                <w:rFonts w:hint="default" w:ascii="Times New Roman" w:hAnsi="Times New Roman" w:eastAsia="仿宋" w:cs="Times New Roman"/>
                <w:color w:val="auto"/>
                <w:sz w:val="21"/>
                <w:szCs w:val="21"/>
              </w:rPr>
              <w:t>类</w:t>
            </w:r>
          </w:p>
        </w:tc>
        <w:tc>
          <w:tcPr>
            <w:tcW w:w="1276"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r>
              <w:rPr>
                <w:rFonts w:hint="eastAsia" w:ascii="Times New Roman" w:hAnsi="Times New Roman" w:eastAsia="仿宋" w:cs="Times New Roman"/>
                <w:color w:val="auto"/>
                <w:kern w:val="0"/>
                <w:sz w:val="21"/>
                <w:szCs w:val="21"/>
                <w:lang w:eastAsia="zh-CN"/>
              </w:rPr>
              <w:t>对危险化学品生产、储存建设项目的</w:t>
            </w:r>
            <w:r>
              <w:rPr>
                <w:rFonts w:hint="default" w:ascii="Times New Roman" w:hAnsi="Times New Roman" w:eastAsia="仿宋" w:cs="Times New Roman"/>
                <w:color w:val="auto"/>
                <w:kern w:val="0"/>
                <w:sz w:val="21"/>
                <w:szCs w:val="21"/>
                <w:lang w:eastAsia="zh-CN"/>
              </w:rPr>
              <w:t>行政</w:t>
            </w:r>
            <w:r>
              <w:rPr>
                <w:rFonts w:hint="eastAsia" w:ascii="Times New Roman" w:hAnsi="Times New Roman" w:eastAsia="仿宋" w:cs="Times New Roman"/>
                <w:color w:val="auto"/>
                <w:kern w:val="0"/>
                <w:sz w:val="21"/>
                <w:szCs w:val="21"/>
                <w:lang w:eastAsia="zh-CN"/>
              </w:rPr>
              <w:t>强制</w:t>
            </w:r>
          </w:p>
        </w:tc>
        <w:tc>
          <w:tcPr>
            <w:tcW w:w="1843" w:type="dxa"/>
            <w:vMerge w:val="restart"/>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lang w:eastAsia="zh-CN"/>
              </w:rPr>
            </w:pPr>
            <w:r>
              <w:rPr>
                <w:rFonts w:hint="eastAsia" w:ascii="Times New Roman" w:hAnsi="Times New Roman" w:eastAsia="仿宋" w:cs="Times New Roman"/>
                <w:color w:val="auto"/>
                <w:kern w:val="0"/>
                <w:sz w:val="21"/>
                <w:szCs w:val="21"/>
                <w:lang w:eastAsia="zh-CN"/>
              </w:rPr>
              <w:t>《中华人民共和国安全生产法》</w:t>
            </w:r>
            <w:r>
              <w:rPr>
                <w:rFonts w:hint="eastAsia" w:ascii="Times New Roman" w:hAnsi="Times New Roman" w:eastAsia="仿宋" w:cs="Times New Roman"/>
                <w:color w:val="auto"/>
                <w:sz w:val="21"/>
                <w:szCs w:val="21"/>
                <w:lang w:eastAsia="zh-CN"/>
              </w:rPr>
              <w:t>第六十七条</w:t>
            </w: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1、催告责任（催告岗）：对存在重大事故隐患的生产经营单位作出停产停业、停止施工、停止使用相关设施或者设备的决定：催告生产经营单位认真履行监督管理部门的上述决定。</w:t>
            </w:r>
          </w:p>
        </w:tc>
        <w:tc>
          <w:tcPr>
            <w:tcW w:w="2893" w:type="dxa"/>
            <w:vMerge w:val="restart"/>
            <w:vAlign w:val="center"/>
          </w:tcPr>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widowControl w:val="0"/>
              <w:wordWrap/>
              <w:adjustRightInd/>
              <w:snapToGrid/>
              <w:spacing w:before="0" w:after="0" w:line="280" w:lineRule="exact"/>
              <w:ind w:left="0" w:leftChars="0" w:right="0" w:firstLine="420" w:firstLineChars="200"/>
              <w:jc w:val="left"/>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2、决定责任（决定岗）：生产经营单位拒不执行停产停业、停止施工、停止使用相关设施或者设备的决定：报机关负责人作出停止供电行政强制措施的决定。</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3、执行责任（执行岗）：采取书面通知供电的单位履行决定。提前二十四小时通知生产经营单位。</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817"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276"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184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c>
          <w:tcPr>
            <w:tcW w:w="7738" w:type="dxa"/>
            <w:vAlign w:val="center"/>
          </w:tcPr>
          <w:p>
            <w:pPr>
              <w:widowControl w:val="0"/>
              <w:wordWrap/>
              <w:adjustRightInd/>
              <w:snapToGrid/>
              <w:spacing w:before="0" w:after="0" w:line="280" w:lineRule="exact"/>
              <w:ind w:left="0" w:leftChars="0" w:right="0"/>
              <w:jc w:val="left"/>
              <w:textAlignment w:val="auto"/>
              <w:outlineLvl w:val="9"/>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4、事后监管责任（事后监管岗）：加强对执行行政强制措施的监督检查：生产经营单位依法履行行政决定、采取相应措施消除事故隐患的，应当及时解除行政强制措施</w:t>
            </w:r>
          </w:p>
        </w:tc>
        <w:tc>
          <w:tcPr>
            <w:tcW w:w="2893" w:type="dxa"/>
            <w:vMerge w:val="continue"/>
            <w:vAlign w:val="center"/>
          </w:tcPr>
          <w:p>
            <w:pPr>
              <w:widowControl w:val="0"/>
              <w:wordWrap/>
              <w:adjustRightInd/>
              <w:snapToGrid/>
              <w:spacing w:before="0" w:after="0" w:line="280" w:lineRule="exact"/>
              <w:ind w:left="0" w:leftChars="0" w:right="0"/>
              <w:jc w:val="center"/>
              <w:textAlignment w:val="auto"/>
              <w:outlineLvl w:val="9"/>
              <w:rPr>
                <w:rFonts w:hint="default" w:ascii="Times New Roman" w:hAnsi="Times New Roman" w:eastAsia="仿宋" w:cs="Times New Roman"/>
                <w:color w:val="auto"/>
                <w:sz w:val="21"/>
                <w:szCs w:val="21"/>
              </w:rPr>
            </w:pPr>
          </w:p>
        </w:tc>
      </w:tr>
    </w:tbl>
    <w:p>
      <w:pPr>
        <w:widowControl w:val="0"/>
        <w:wordWrap/>
        <w:adjustRightInd/>
        <w:snapToGrid/>
        <w:spacing w:before="0" w:after="0" w:line="240" w:lineRule="exact"/>
        <w:ind w:left="0" w:leftChars="0" w:right="0"/>
        <w:textAlignment w:val="auto"/>
        <w:outlineLvl w:val="9"/>
        <w:rPr>
          <w:rFonts w:hint="default" w:ascii="Times New Roman" w:hAnsi="Times New Roman" w:cs="Times New Roman"/>
          <w:color w:val="auto"/>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w:t>
      </w:r>
      <w:r>
        <w:rPr>
          <w:rFonts w:hint="eastAsia" w:ascii="楷体" w:hAnsi="楷体" w:eastAsia="楷体"/>
          <w:color w:val="auto"/>
          <w:sz w:val="21"/>
          <w:szCs w:val="21"/>
          <w:lang w:val="en-US" w:eastAsia="zh-CN"/>
        </w:rPr>
        <w:t>三</w:t>
      </w:r>
      <w:r>
        <w:rPr>
          <w:rFonts w:hint="eastAsia" w:ascii="楷体" w:hAnsi="楷体" w:eastAsia="楷体"/>
          <w:color w:val="auto"/>
          <w:sz w:val="21"/>
          <w:szCs w:val="21"/>
        </w:rPr>
        <w:t>）行政</w:t>
      </w:r>
      <w:r>
        <w:rPr>
          <w:rFonts w:hint="eastAsia" w:ascii="楷体" w:hAnsi="楷体" w:eastAsia="楷体"/>
          <w:color w:val="auto"/>
          <w:sz w:val="21"/>
          <w:szCs w:val="21"/>
          <w:lang w:val="en-US" w:eastAsia="zh-CN"/>
        </w:rPr>
        <w:t>检查</w:t>
      </w:r>
      <w:r>
        <w:rPr>
          <w:rFonts w:hint="eastAsia" w:ascii="楷体" w:hAnsi="楷体" w:eastAsia="楷体"/>
          <w:color w:val="auto"/>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w:t>
            </w:r>
          </w:p>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类别</w:t>
            </w:r>
          </w:p>
        </w:tc>
        <w:tc>
          <w:tcPr>
            <w:tcW w:w="1276"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职权名称</w:t>
            </w:r>
          </w:p>
        </w:tc>
        <w:tc>
          <w:tcPr>
            <w:tcW w:w="1843"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实施依据</w:t>
            </w:r>
          </w:p>
        </w:tc>
        <w:tc>
          <w:tcPr>
            <w:tcW w:w="7738"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责任事项（岗位责任）</w:t>
            </w:r>
          </w:p>
        </w:tc>
        <w:tc>
          <w:tcPr>
            <w:tcW w:w="2893"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w:t>
            </w:r>
            <w:r>
              <w:rPr>
                <w:rFonts w:hint="eastAsia" w:ascii="仿宋" w:hAnsi="仿宋" w:eastAsia="仿宋"/>
                <w:color w:val="auto"/>
                <w:sz w:val="21"/>
                <w:szCs w:val="21"/>
                <w:lang w:val="en-US" w:eastAsia="zh-CN"/>
              </w:rPr>
              <w:t>检查</w:t>
            </w:r>
            <w:r>
              <w:rPr>
                <w:rFonts w:hint="eastAsia" w:ascii="仿宋" w:hAnsi="仿宋" w:eastAsia="仿宋"/>
                <w:color w:val="auto"/>
                <w:sz w:val="21"/>
                <w:szCs w:val="21"/>
              </w:rPr>
              <w:t>类</w:t>
            </w:r>
          </w:p>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8</w:t>
            </w:r>
          </w:p>
          <w:p>
            <w:pPr>
              <w:spacing w:line="240" w:lineRule="atLeast"/>
              <w:jc w:val="center"/>
              <w:rPr>
                <w:rFonts w:ascii="仿宋" w:hAnsi="仿宋" w:eastAsia="仿宋"/>
                <w:color w:val="auto"/>
                <w:sz w:val="21"/>
                <w:szCs w:val="21"/>
              </w:rPr>
            </w:pPr>
            <w:r>
              <w:rPr>
                <w:rFonts w:hint="eastAsia" w:ascii="仿宋" w:hAnsi="仿宋" w:eastAsia="仿宋"/>
                <w:color w:val="auto"/>
                <w:sz w:val="21"/>
                <w:szCs w:val="21"/>
                <w:lang w:val="en-US" w:eastAsia="zh-CN"/>
              </w:rPr>
              <w:t>条</w:t>
            </w:r>
          </w:p>
        </w:tc>
        <w:tc>
          <w:tcPr>
            <w:tcW w:w="1276" w:type="dxa"/>
            <w:vMerge w:val="restart"/>
            <w:vAlign w:val="center"/>
          </w:tcPr>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对河南省应急管理厅认可的安全评价检测检验机构的行政检查</w:t>
            </w:r>
          </w:p>
        </w:tc>
        <w:tc>
          <w:tcPr>
            <w:tcW w:w="1843" w:type="dxa"/>
            <w:vMerge w:val="restart"/>
            <w:vAlign w:val="center"/>
          </w:tcPr>
          <w:p>
            <w:pPr>
              <w:spacing w:line="240" w:lineRule="atLeast"/>
              <w:rPr>
                <w:rFonts w:hint="default" w:ascii="仿宋" w:hAnsi="仿宋" w:eastAsia="仿宋"/>
                <w:color w:val="auto"/>
                <w:sz w:val="21"/>
                <w:szCs w:val="21"/>
                <w:lang w:val="en-US" w:eastAsia="zh-CN"/>
              </w:rPr>
            </w:pP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安全评价检测检验机构</w:t>
            </w: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第二十四条第一款资质认可机关应当将其认可的安全评价检测检验机构纳入年度安全生产监督检查计划范围。按照国务院有关“双随机、一公开”的规定实施监督检查,并确保每三年至少覆盖一次。</w:t>
            </w:r>
          </w:p>
        </w:tc>
        <w:tc>
          <w:tcPr>
            <w:tcW w:w="7738" w:type="dxa"/>
            <w:vAlign w:val="center"/>
          </w:tcPr>
          <w:p>
            <w:pPr>
              <w:spacing w:line="240" w:lineRule="atLeast"/>
              <w:jc w:val="left"/>
              <w:rPr>
                <w:rFonts w:hint="eastAsia" w:ascii="仿宋" w:hAnsi="仿宋" w:eastAsia="仿宋"/>
                <w:color w:val="auto"/>
                <w:sz w:val="21"/>
                <w:szCs w:val="21"/>
                <w:lang w:eastAsia="zh-CN"/>
              </w:rPr>
            </w:pPr>
            <w:r>
              <w:rPr>
                <w:rFonts w:hint="eastAsia" w:ascii="仿宋" w:hAnsi="仿宋" w:eastAsia="仿宋"/>
                <w:color w:val="auto"/>
                <w:sz w:val="21"/>
                <w:szCs w:val="21"/>
              </w:rPr>
              <w:t>1.检查责任(检查岗) :按照法律法规规定和程序实施检查,实事求是,证据完整、确凿,监督检查人员不得少于二人,并应当出示合法证件</w:t>
            </w:r>
            <w:r>
              <w:rPr>
                <w:rFonts w:hint="eastAsia" w:ascii="仿宋" w:hAnsi="仿宋" w:eastAsia="仿宋"/>
                <w:color w:val="auto"/>
                <w:sz w:val="21"/>
                <w:szCs w:val="21"/>
                <w:lang w:eastAsia="zh-CN"/>
              </w:rPr>
              <w:t>。</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7"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1843" w:type="dxa"/>
            <w:vMerge w:val="continue"/>
            <w:vAlign w:val="center"/>
          </w:tcPr>
          <w:p>
            <w:pPr>
              <w:spacing w:line="240" w:lineRule="atLeast"/>
              <w:jc w:val="center"/>
              <w:rPr>
                <w:color w:val="auto"/>
                <w:sz w:val="21"/>
                <w:szCs w:val="21"/>
              </w:rPr>
            </w:pPr>
          </w:p>
        </w:tc>
        <w:tc>
          <w:tcPr>
            <w:tcW w:w="7738" w:type="dxa"/>
            <w:vAlign w:val="center"/>
          </w:tcPr>
          <w:p>
            <w:pPr>
              <w:spacing w:line="240" w:lineRule="atLeast"/>
              <w:jc w:val="left"/>
              <w:rPr>
                <w:rFonts w:hint="default" w:ascii="仿宋" w:hAnsi="仿宋" w:eastAsia="仿宋"/>
                <w:color w:val="auto"/>
                <w:sz w:val="21"/>
                <w:szCs w:val="21"/>
                <w:lang w:val="en-US" w:eastAsia="zh-CN"/>
              </w:rPr>
            </w:pPr>
            <w:r>
              <w:rPr>
                <w:rFonts w:hint="eastAsia" w:ascii="仿宋" w:hAnsi="仿宋" w:eastAsia="仿宋"/>
                <w:color w:val="auto"/>
                <w:sz w:val="21"/>
                <w:szCs w:val="21"/>
              </w:rPr>
              <w:t>2</w:t>
            </w:r>
            <w:r>
              <w:rPr>
                <w:rFonts w:hint="eastAsia" w:ascii="仿宋" w:hAnsi="仿宋" w:eastAsia="仿宋"/>
                <w:color w:val="auto"/>
                <w:sz w:val="21"/>
                <w:szCs w:val="21"/>
                <w:lang w:val="en-US" w:eastAsia="zh-CN"/>
              </w:rPr>
              <w:t>.</w:t>
            </w:r>
            <w:r>
              <w:rPr>
                <w:rFonts w:hint="eastAsia" w:ascii="仿宋" w:hAnsi="仿宋" w:eastAsia="仿宋"/>
                <w:color w:val="auto"/>
                <w:sz w:val="21"/>
                <w:szCs w:val="21"/>
              </w:rPr>
              <w:t>处置责任(处置岗) :依法处置,不得违</w:t>
            </w:r>
            <w:r>
              <w:rPr>
                <w:rFonts w:hint="eastAsia" w:ascii="仿宋" w:hAnsi="仿宋" w:eastAsia="仿宋"/>
                <w:color w:val="auto"/>
                <w:sz w:val="21"/>
                <w:szCs w:val="21"/>
                <w:lang w:val="en-US" w:eastAsia="zh-CN"/>
              </w:rPr>
              <w:t>反法律法规。</w:t>
            </w:r>
          </w:p>
        </w:tc>
        <w:tc>
          <w:tcPr>
            <w:tcW w:w="2893" w:type="dxa"/>
            <w:vMerge w:val="continue"/>
            <w:vAlign w:val="center"/>
          </w:tcPr>
          <w:p>
            <w:pPr>
              <w:spacing w:line="240" w:lineRule="atLeast"/>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1843" w:type="dxa"/>
            <w:vMerge w:val="continue"/>
            <w:vAlign w:val="center"/>
          </w:tcPr>
          <w:p>
            <w:pPr>
              <w:spacing w:line="240" w:lineRule="atLeast"/>
              <w:jc w:val="center"/>
              <w:rPr>
                <w:color w:val="auto"/>
                <w:sz w:val="21"/>
                <w:szCs w:val="21"/>
              </w:rPr>
            </w:pPr>
          </w:p>
        </w:tc>
        <w:tc>
          <w:tcPr>
            <w:tcW w:w="7738" w:type="dxa"/>
            <w:vAlign w:val="center"/>
          </w:tcPr>
          <w:p>
            <w:pPr>
              <w:spacing w:line="240" w:lineRule="atLeast"/>
              <w:jc w:val="left"/>
              <w:rPr>
                <w:rFonts w:hint="default" w:ascii="仿宋" w:hAnsi="仿宋" w:eastAsia="仿宋"/>
                <w:color w:val="auto"/>
                <w:sz w:val="21"/>
                <w:szCs w:val="21"/>
                <w:lang w:val="en-US" w:eastAsia="zh-CN"/>
              </w:rPr>
            </w:pPr>
            <w:r>
              <w:rPr>
                <w:rFonts w:hint="eastAsia" w:ascii="仿宋" w:hAnsi="仿宋" w:eastAsia="仿宋"/>
                <w:color w:val="auto"/>
                <w:sz w:val="21"/>
                <w:szCs w:val="21"/>
              </w:rPr>
              <w:t>3,公开责任(公开岗) :依法律法规</w:t>
            </w: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按照程序办理信息公开事项.</w:t>
            </w:r>
          </w:p>
        </w:tc>
        <w:tc>
          <w:tcPr>
            <w:tcW w:w="2893" w:type="dxa"/>
            <w:vMerge w:val="continue"/>
            <w:vAlign w:val="center"/>
          </w:tcPr>
          <w:p>
            <w:pPr>
              <w:spacing w:line="240" w:lineRule="atLeast"/>
              <w:jc w:val="center"/>
              <w:rPr>
                <w:color w:val="auto"/>
                <w:sz w:val="21"/>
                <w:szCs w:val="21"/>
              </w:rPr>
            </w:pPr>
          </w:p>
        </w:tc>
      </w:tr>
    </w:tbl>
    <w:p>
      <w:pPr>
        <w:rPr>
          <w:color w:val="auto"/>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w:t>
      </w:r>
      <w:r>
        <w:rPr>
          <w:rFonts w:hint="eastAsia" w:ascii="楷体" w:hAnsi="楷体" w:eastAsia="楷体"/>
          <w:color w:val="auto"/>
          <w:sz w:val="21"/>
          <w:szCs w:val="21"/>
          <w:lang w:val="en-US" w:eastAsia="zh-CN"/>
        </w:rPr>
        <w:t>三</w:t>
      </w:r>
      <w:r>
        <w:rPr>
          <w:rFonts w:hint="eastAsia" w:ascii="楷体" w:hAnsi="楷体" w:eastAsia="楷体"/>
          <w:color w:val="auto"/>
          <w:sz w:val="21"/>
          <w:szCs w:val="21"/>
        </w:rPr>
        <w:t>）行政</w:t>
      </w:r>
      <w:r>
        <w:rPr>
          <w:rFonts w:hint="eastAsia" w:ascii="楷体" w:hAnsi="楷体" w:eastAsia="楷体"/>
          <w:color w:val="auto"/>
          <w:sz w:val="21"/>
          <w:szCs w:val="21"/>
          <w:lang w:val="en-US" w:eastAsia="zh-CN"/>
        </w:rPr>
        <w:t>检查</w:t>
      </w:r>
      <w:r>
        <w:rPr>
          <w:rFonts w:hint="eastAsia" w:ascii="楷体" w:hAnsi="楷体" w:eastAsia="楷体"/>
          <w:color w:val="auto"/>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w:t>
            </w:r>
          </w:p>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类别</w:t>
            </w:r>
          </w:p>
        </w:tc>
        <w:tc>
          <w:tcPr>
            <w:tcW w:w="1276"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职权名称</w:t>
            </w:r>
          </w:p>
        </w:tc>
        <w:tc>
          <w:tcPr>
            <w:tcW w:w="1843"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实施依据</w:t>
            </w:r>
          </w:p>
        </w:tc>
        <w:tc>
          <w:tcPr>
            <w:tcW w:w="7738"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责任事项（岗位责任）</w:t>
            </w:r>
          </w:p>
        </w:tc>
        <w:tc>
          <w:tcPr>
            <w:tcW w:w="2893"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w:t>
            </w:r>
            <w:r>
              <w:rPr>
                <w:rFonts w:hint="eastAsia" w:ascii="仿宋" w:hAnsi="仿宋" w:eastAsia="仿宋"/>
                <w:color w:val="auto"/>
                <w:sz w:val="21"/>
                <w:szCs w:val="21"/>
                <w:lang w:val="en-US" w:eastAsia="zh-CN"/>
              </w:rPr>
              <w:t>检查</w:t>
            </w:r>
            <w:r>
              <w:rPr>
                <w:rFonts w:hint="eastAsia" w:ascii="仿宋" w:hAnsi="仿宋" w:eastAsia="仿宋"/>
                <w:color w:val="auto"/>
                <w:sz w:val="21"/>
                <w:szCs w:val="21"/>
              </w:rPr>
              <w:t>类</w:t>
            </w:r>
          </w:p>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9</w:t>
            </w:r>
          </w:p>
          <w:p>
            <w:pPr>
              <w:spacing w:line="240" w:lineRule="atLeast"/>
              <w:jc w:val="center"/>
              <w:rPr>
                <w:rFonts w:ascii="仿宋" w:hAnsi="仿宋" w:eastAsia="仿宋"/>
                <w:color w:val="auto"/>
                <w:sz w:val="21"/>
                <w:szCs w:val="21"/>
              </w:rPr>
            </w:pPr>
            <w:r>
              <w:rPr>
                <w:rFonts w:hint="eastAsia" w:ascii="仿宋" w:hAnsi="仿宋" w:eastAsia="仿宋"/>
                <w:color w:val="auto"/>
                <w:sz w:val="21"/>
                <w:szCs w:val="21"/>
                <w:lang w:val="en-US" w:eastAsia="zh-CN"/>
              </w:rPr>
              <w:t>条</w:t>
            </w:r>
          </w:p>
        </w:tc>
        <w:tc>
          <w:tcPr>
            <w:tcW w:w="1276" w:type="dxa"/>
            <w:vMerge w:val="restart"/>
            <w:vAlign w:val="center"/>
          </w:tcPr>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对从事跨区域技术服务的安全评价检测检验机构的资质有效性认可范围等信息和技术服务的行政检查</w:t>
            </w:r>
          </w:p>
        </w:tc>
        <w:tc>
          <w:tcPr>
            <w:tcW w:w="1843" w:type="dxa"/>
            <w:vMerge w:val="restart"/>
            <w:vAlign w:val="center"/>
          </w:tcPr>
          <w:p>
            <w:pPr>
              <w:spacing w:line="240" w:lineRule="atLeast"/>
              <w:rPr>
                <w:rFonts w:hint="default" w:ascii="仿宋" w:hAnsi="仿宋" w:eastAsia="仿宋"/>
                <w:color w:val="auto"/>
                <w:sz w:val="21"/>
                <w:szCs w:val="21"/>
                <w:lang w:val="en-US" w:eastAsia="zh-CN"/>
              </w:rPr>
            </w:pP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安全评价检测检验机构</w:t>
            </w: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第二十四条第二款安全评价检测检验机构从事跨区域技术服务的，项目实施地资质认可机关应当及时核查其资质有星星、认可范围等信息，并对其技术服务实施抽查</w:t>
            </w:r>
          </w:p>
        </w:tc>
        <w:tc>
          <w:tcPr>
            <w:tcW w:w="7738" w:type="dxa"/>
            <w:vAlign w:val="center"/>
          </w:tcPr>
          <w:p>
            <w:pPr>
              <w:spacing w:line="240" w:lineRule="atLeast"/>
              <w:jc w:val="left"/>
              <w:rPr>
                <w:rFonts w:hint="eastAsia" w:ascii="仿宋" w:hAnsi="仿宋" w:eastAsia="仿宋"/>
                <w:color w:val="auto"/>
                <w:sz w:val="21"/>
                <w:szCs w:val="21"/>
                <w:lang w:eastAsia="zh-CN"/>
              </w:rPr>
            </w:pPr>
            <w:r>
              <w:rPr>
                <w:rFonts w:hint="eastAsia" w:ascii="仿宋" w:hAnsi="仿宋" w:eastAsia="仿宋"/>
                <w:color w:val="auto"/>
                <w:sz w:val="21"/>
                <w:szCs w:val="21"/>
              </w:rPr>
              <w:t>1.检查责任(检查岗) :按照法律法规规定和程序实施检查,实事求是,证据完整、确凿,监督检查人员不得少于二人,并应当出示合法证件</w:t>
            </w:r>
            <w:r>
              <w:rPr>
                <w:rFonts w:hint="eastAsia" w:ascii="仿宋" w:hAnsi="仿宋" w:eastAsia="仿宋"/>
                <w:color w:val="auto"/>
                <w:sz w:val="21"/>
                <w:szCs w:val="21"/>
                <w:lang w:eastAsia="zh-CN"/>
              </w:rPr>
              <w:t>。</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7"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1843" w:type="dxa"/>
            <w:vMerge w:val="continue"/>
            <w:vAlign w:val="center"/>
          </w:tcPr>
          <w:p>
            <w:pPr>
              <w:spacing w:line="240" w:lineRule="atLeast"/>
              <w:jc w:val="center"/>
              <w:rPr>
                <w:color w:val="auto"/>
                <w:sz w:val="21"/>
                <w:szCs w:val="21"/>
              </w:rPr>
            </w:pPr>
          </w:p>
        </w:tc>
        <w:tc>
          <w:tcPr>
            <w:tcW w:w="7738" w:type="dxa"/>
            <w:vAlign w:val="center"/>
          </w:tcPr>
          <w:p>
            <w:pPr>
              <w:spacing w:line="240" w:lineRule="atLeast"/>
              <w:jc w:val="left"/>
              <w:rPr>
                <w:rFonts w:hint="default" w:ascii="仿宋" w:hAnsi="仿宋" w:eastAsia="仿宋"/>
                <w:color w:val="auto"/>
                <w:sz w:val="21"/>
                <w:szCs w:val="21"/>
                <w:lang w:val="en-US" w:eastAsia="zh-CN"/>
              </w:rPr>
            </w:pPr>
            <w:r>
              <w:rPr>
                <w:rFonts w:hint="eastAsia" w:ascii="仿宋" w:hAnsi="仿宋" w:eastAsia="仿宋"/>
                <w:color w:val="auto"/>
                <w:sz w:val="21"/>
                <w:szCs w:val="21"/>
              </w:rPr>
              <w:t>2</w:t>
            </w:r>
            <w:r>
              <w:rPr>
                <w:rFonts w:hint="eastAsia" w:ascii="仿宋" w:hAnsi="仿宋" w:eastAsia="仿宋"/>
                <w:color w:val="auto"/>
                <w:sz w:val="21"/>
                <w:szCs w:val="21"/>
                <w:lang w:val="en-US" w:eastAsia="zh-CN"/>
              </w:rPr>
              <w:t>.</w:t>
            </w:r>
            <w:r>
              <w:rPr>
                <w:rFonts w:hint="eastAsia" w:ascii="仿宋" w:hAnsi="仿宋" w:eastAsia="仿宋"/>
                <w:color w:val="auto"/>
                <w:sz w:val="21"/>
                <w:szCs w:val="21"/>
              </w:rPr>
              <w:t>处置责任(处置岗) :依法处置,不得违</w:t>
            </w:r>
            <w:r>
              <w:rPr>
                <w:rFonts w:hint="eastAsia" w:ascii="仿宋" w:hAnsi="仿宋" w:eastAsia="仿宋"/>
                <w:color w:val="auto"/>
                <w:sz w:val="21"/>
                <w:szCs w:val="21"/>
                <w:lang w:val="en-US" w:eastAsia="zh-CN"/>
              </w:rPr>
              <w:t>反法律法规。</w:t>
            </w:r>
          </w:p>
        </w:tc>
        <w:tc>
          <w:tcPr>
            <w:tcW w:w="2893" w:type="dxa"/>
            <w:vMerge w:val="continue"/>
            <w:vAlign w:val="center"/>
          </w:tcPr>
          <w:p>
            <w:pPr>
              <w:spacing w:line="240" w:lineRule="atLeast"/>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1843" w:type="dxa"/>
            <w:vMerge w:val="continue"/>
            <w:vAlign w:val="center"/>
          </w:tcPr>
          <w:p>
            <w:pPr>
              <w:spacing w:line="240" w:lineRule="atLeast"/>
              <w:jc w:val="center"/>
              <w:rPr>
                <w:color w:val="auto"/>
                <w:sz w:val="21"/>
                <w:szCs w:val="21"/>
              </w:rPr>
            </w:pPr>
          </w:p>
        </w:tc>
        <w:tc>
          <w:tcPr>
            <w:tcW w:w="7738" w:type="dxa"/>
            <w:vAlign w:val="center"/>
          </w:tcPr>
          <w:p>
            <w:pPr>
              <w:spacing w:line="240" w:lineRule="atLeast"/>
              <w:jc w:val="left"/>
              <w:rPr>
                <w:rFonts w:hint="default" w:ascii="仿宋" w:hAnsi="仿宋" w:eastAsia="仿宋"/>
                <w:color w:val="auto"/>
                <w:sz w:val="21"/>
                <w:szCs w:val="21"/>
                <w:lang w:val="en-US" w:eastAsia="zh-CN"/>
              </w:rPr>
            </w:pPr>
            <w:r>
              <w:rPr>
                <w:rFonts w:hint="eastAsia" w:ascii="仿宋" w:hAnsi="仿宋" w:eastAsia="仿宋"/>
                <w:color w:val="auto"/>
                <w:sz w:val="21"/>
                <w:szCs w:val="21"/>
              </w:rPr>
              <w:t>3,公开责任(公开岗) :依法律法规</w:t>
            </w: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按照程序办理信息公开事项.</w:t>
            </w:r>
          </w:p>
        </w:tc>
        <w:tc>
          <w:tcPr>
            <w:tcW w:w="2893" w:type="dxa"/>
            <w:vMerge w:val="continue"/>
            <w:vAlign w:val="center"/>
          </w:tcPr>
          <w:p>
            <w:pPr>
              <w:spacing w:line="240" w:lineRule="atLeast"/>
              <w:jc w:val="center"/>
              <w:rPr>
                <w:color w:val="auto"/>
                <w:sz w:val="21"/>
                <w:szCs w:val="21"/>
              </w:rPr>
            </w:pPr>
          </w:p>
        </w:tc>
      </w:tr>
    </w:tbl>
    <w:p>
      <w:pPr>
        <w:rPr>
          <w:color w:val="auto"/>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w:t>
      </w:r>
      <w:r>
        <w:rPr>
          <w:rFonts w:hint="eastAsia" w:ascii="楷体" w:hAnsi="楷体" w:eastAsia="楷体"/>
          <w:color w:val="auto"/>
          <w:sz w:val="21"/>
          <w:szCs w:val="21"/>
          <w:lang w:val="en-US" w:eastAsia="zh-CN"/>
        </w:rPr>
        <w:t>三</w:t>
      </w:r>
      <w:r>
        <w:rPr>
          <w:rFonts w:hint="eastAsia" w:ascii="楷体" w:hAnsi="楷体" w:eastAsia="楷体"/>
          <w:color w:val="auto"/>
          <w:sz w:val="21"/>
          <w:szCs w:val="21"/>
        </w:rPr>
        <w:t>）行政</w:t>
      </w:r>
      <w:r>
        <w:rPr>
          <w:rFonts w:hint="eastAsia" w:ascii="楷体" w:hAnsi="楷体" w:eastAsia="楷体"/>
          <w:color w:val="auto"/>
          <w:sz w:val="21"/>
          <w:szCs w:val="21"/>
          <w:lang w:val="en-US" w:eastAsia="zh-CN"/>
        </w:rPr>
        <w:t>检查</w:t>
      </w:r>
      <w:r>
        <w:rPr>
          <w:rFonts w:hint="eastAsia" w:ascii="楷体" w:hAnsi="楷体" w:eastAsia="楷体"/>
          <w:color w:val="auto"/>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7738"/>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w:t>
            </w:r>
          </w:p>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类别</w:t>
            </w:r>
          </w:p>
        </w:tc>
        <w:tc>
          <w:tcPr>
            <w:tcW w:w="1276"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职权名称</w:t>
            </w:r>
          </w:p>
        </w:tc>
        <w:tc>
          <w:tcPr>
            <w:tcW w:w="1843"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实施依据</w:t>
            </w:r>
          </w:p>
        </w:tc>
        <w:tc>
          <w:tcPr>
            <w:tcW w:w="7738"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责任事项（岗位责任）</w:t>
            </w:r>
          </w:p>
        </w:tc>
        <w:tc>
          <w:tcPr>
            <w:tcW w:w="2893"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w:t>
            </w:r>
            <w:r>
              <w:rPr>
                <w:rFonts w:hint="eastAsia" w:ascii="仿宋" w:hAnsi="仿宋" w:eastAsia="仿宋"/>
                <w:color w:val="auto"/>
                <w:sz w:val="21"/>
                <w:szCs w:val="21"/>
                <w:lang w:val="en-US" w:eastAsia="zh-CN"/>
              </w:rPr>
              <w:t>检查</w:t>
            </w:r>
            <w:r>
              <w:rPr>
                <w:rFonts w:hint="eastAsia" w:ascii="仿宋" w:hAnsi="仿宋" w:eastAsia="仿宋"/>
                <w:color w:val="auto"/>
                <w:sz w:val="21"/>
                <w:szCs w:val="21"/>
              </w:rPr>
              <w:t>类</w:t>
            </w:r>
          </w:p>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10</w:t>
            </w:r>
          </w:p>
          <w:p>
            <w:pPr>
              <w:spacing w:line="240" w:lineRule="atLeast"/>
              <w:jc w:val="center"/>
              <w:rPr>
                <w:rFonts w:ascii="仿宋" w:hAnsi="仿宋" w:eastAsia="仿宋"/>
                <w:color w:val="auto"/>
                <w:sz w:val="21"/>
                <w:szCs w:val="21"/>
              </w:rPr>
            </w:pPr>
            <w:r>
              <w:rPr>
                <w:rFonts w:hint="eastAsia" w:ascii="仿宋" w:hAnsi="仿宋" w:eastAsia="仿宋"/>
                <w:color w:val="auto"/>
                <w:sz w:val="21"/>
                <w:szCs w:val="21"/>
                <w:lang w:val="en-US" w:eastAsia="zh-CN"/>
              </w:rPr>
              <w:t>条</w:t>
            </w:r>
          </w:p>
        </w:tc>
        <w:tc>
          <w:tcPr>
            <w:tcW w:w="1276" w:type="dxa"/>
            <w:vMerge w:val="restart"/>
            <w:vAlign w:val="center"/>
          </w:tcPr>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对在河南省登记的安全评价检测检验机构资质条件保持情况、接受行政处罚和投诉举报等情况的行政检查</w:t>
            </w:r>
          </w:p>
        </w:tc>
        <w:tc>
          <w:tcPr>
            <w:tcW w:w="1843" w:type="dxa"/>
            <w:vMerge w:val="restart"/>
            <w:vAlign w:val="center"/>
          </w:tcPr>
          <w:p>
            <w:pPr>
              <w:spacing w:line="240" w:lineRule="atLeast"/>
              <w:rPr>
                <w:rFonts w:hint="default" w:ascii="仿宋" w:hAnsi="仿宋" w:eastAsia="仿宋"/>
                <w:color w:val="auto"/>
                <w:sz w:val="21"/>
                <w:szCs w:val="21"/>
                <w:lang w:val="en-US" w:eastAsia="zh-CN"/>
              </w:rPr>
            </w:pP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安全评价检测检验机构</w:t>
            </w: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第二十四条第三款资质认可机关及其下级部门应当对本行政区域内登记注册的安全评价检测检验机构资质条件保持情况、接受行政处罚和投诉举报等情况进行重点监督检查</w:t>
            </w:r>
          </w:p>
        </w:tc>
        <w:tc>
          <w:tcPr>
            <w:tcW w:w="7738" w:type="dxa"/>
            <w:vAlign w:val="center"/>
          </w:tcPr>
          <w:p>
            <w:pPr>
              <w:spacing w:line="240" w:lineRule="atLeast"/>
              <w:jc w:val="left"/>
              <w:rPr>
                <w:rFonts w:hint="eastAsia" w:ascii="仿宋" w:hAnsi="仿宋" w:eastAsia="仿宋"/>
                <w:color w:val="auto"/>
                <w:sz w:val="21"/>
                <w:szCs w:val="21"/>
                <w:lang w:eastAsia="zh-CN"/>
              </w:rPr>
            </w:pPr>
            <w:r>
              <w:rPr>
                <w:rFonts w:hint="eastAsia" w:ascii="仿宋" w:hAnsi="仿宋" w:eastAsia="仿宋"/>
                <w:color w:val="auto"/>
                <w:sz w:val="21"/>
                <w:szCs w:val="21"/>
              </w:rPr>
              <w:t>1.检查责任(检查岗) :按照法律法规规定和程序实施检查,实事求是,证据完整、确凿,监督检查人员不得少于二人,并应当出示合法证件</w:t>
            </w:r>
            <w:r>
              <w:rPr>
                <w:rFonts w:hint="eastAsia" w:ascii="仿宋" w:hAnsi="仿宋" w:eastAsia="仿宋"/>
                <w:color w:val="auto"/>
                <w:sz w:val="21"/>
                <w:szCs w:val="21"/>
                <w:lang w:eastAsia="zh-CN"/>
              </w:rPr>
              <w:t>。</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7"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1843" w:type="dxa"/>
            <w:vMerge w:val="continue"/>
            <w:vAlign w:val="center"/>
          </w:tcPr>
          <w:p>
            <w:pPr>
              <w:spacing w:line="240" w:lineRule="atLeast"/>
              <w:jc w:val="center"/>
              <w:rPr>
                <w:color w:val="auto"/>
                <w:sz w:val="21"/>
                <w:szCs w:val="21"/>
              </w:rPr>
            </w:pPr>
          </w:p>
        </w:tc>
        <w:tc>
          <w:tcPr>
            <w:tcW w:w="7738" w:type="dxa"/>
            <w:vAlign w:val="center"/>
          </w:tcPr>
          <w:p>
            <w:pPr>
              <w:spacing w:line="240" w:lineRule="atLeast"/>
              <w:jc w:val="left"/>
              <w:rPr>
                <w:rFonts w:hint="default" w:ascii="仿宋" w:hAnsi="仿宋" w:eastAsia="仿宋"/>
                <w:color w:val="auto"/>
                <w:sz w:val="21"/>
                <w:szCs w:val="21"/>
                <w:lang w:val="en-US" w:eastAsia="zh-CN"/>
              </w:rPr>
            </w:pPr>
            <w:r>
              <w:rPr>
                <w:rFonts w:hint="eastAsia" w:ascii="仿宋" w:hAnsi="仿宋" w:eastAsia="仿宋"/>
                <w:color w:val="auto"/>
                <w:sz w:val="21"/>
                <w:szCs w:val="21"/>
              </w:rPr>
              <w:t>2</w:t>
            </w:r>
            <w:r>
              <w:rPr>
                <w:rFonts w:hint="eastAsia" w:ascii="仿宋" w:hAnsi="仿宋" w:eastAsia="仿宋"/>
                <w:color w:val="auto"/>
                <w:sz w:val="21"/>
                <w:szCs w:val="21"/>
                <w:lang w:val="en-US" w:eastAsia="zh-CN"/>
              </w:rPr>
              <w:t>.</w:t>
            </w:r>
            <w:r>
              <w:rPr>
                <w:rFonts w:hint="eastAsia" w:ascii="仿宋" w:hAnsi="仿宋" w:eastAsia="仿宋"/>
                <w:color w:val="auto"/>
                <w:sz w:val="21"/>
                <w:szCs w:val="21"/>
              </w:rPr>
              <w:t>处置责任(处置岗) :依法处置,不得违</w:t>
            </w:r>
            <w:r>
              <w:rPr>
                <w:rFonts w:hint="eastAsia" w:ascii="仿宋" w:hAnsi="仿宋" w:eastAsia="仿宋"/>
                <w:color w:val="auto"/>
                <w:sz w:val="21"/>
                <w:szCs w:val="21"/>
                <w:lang w:val="en-US" w:eastAsia="zh-CN"/>
              </w:rPr>
              <w:t>反法律法规。</w:t>
            </w:r>
          </w:p>
        </w:tc>
        <w:tc>
          <w:tcPr>
            <w:tcW w:w="2893" w:type="dxa"/>
            <w:vMerge w:val="continue"/>
            <w:vAlign w:val="center"/>
          </w:tcPr>
          <w:p>
            <w:pPr>
              <w:spacing w:line="240" w:lineRule="atLeast"/>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1"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1843" w:type="dxa"/>
            <w:vMerge w:val="continue"/>
            <w:vAlign w:val="center"/>
          </w:tcPr>
          <w:p>
            <w:pPr>
              <w:spacing w:line="240" w:lineRule="atLeast"/>
              <w:jc w:val="center"/>
              <w:rPr>
                <w:color w:val="auto"/>
                <w:sz w:val="21"/>
                <w:szCs w:val="21"/>
              </w:rPr>
            </w:pPr>
          </w:p>
        </w:tc>
        <w:tc>
          <w:tcPr>
            <w:tcW w:w="7738" w:type="dxa"/>
            <w:vAlign w:val="center"/>
          </w:tcPr>
          <w:p>
            <w:pPr>
              <w:spacing w:line="240" w:lineRule="atLeast"/>
              <w:jc w:val="left"/>
              <w:rPr>
                <w:rFonts w:hint="default" w:ascii="仿宋" w:hAnsi="仿宋" w:eastAsia="仿宋"/>
                <w:color w:val="auto"/>
                <w:sz w:val="21"/>
                <w:szCs w:val="21"/>
                <w:lang w:val="en-US" w:eastAsia="zh-CN"/>
              </w:rPr>
            </w:pPr>
            <w:r>
              <w:rPr>
                <w:rFonts w:hint="eastAsia" w:ascii="仿宋" w:hAnsi="仿宋" w:eastAsia="仿宋"/>
                <w:color w:val="auto"/>
                <w:sz w:val="21"/>
                <w:szCs w:val="21"/>
              </w:rPr>
              <w:t>3,公开责任(公开岗) :依法律法规</w:t>
            </w: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按照程序办理信息公开事项.</w:t>
            </w:r>
          </w:p>
        </w:tc>
        <w:tc>
          <w:tcPr>
            <w:tcW w:w="2893" w:type="dxa"/>
            <w:vMerge w:val="continue"/>
            <w:vAlign w:val="center"/>
          </w:tcPr>
          <w:p>
            <w:pPr>
              <w:spacing w:line="240" w:lineRule="atLeast"/>
              <w:jc w:val="center"/>
              <w:rPr>
                <w:color w:val="auto"/>
                <w:sz w:val="21"/>
                <w:szCs w:val="21"/>
              </w:rPr>
            </w:pPr>
          </w:p>
        </w:tc>
      </w:tr>
    </w:tbl>
    <w:p>
      <w:pPr>
        <w:rPr>
          <w:color w:val="auto"/>
          <w:sz w:val="21"/>
          <w:szCs w:val="21"/>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color w:val="auto"/>
          <w:sz w:val="21"/>
          <w:szCs w:val="21"/>
        </w:rPr>
      </w:pPr>
      <w:r>
        <w:rPr>
          <w:rFonts w:hint="eastAsia" w:ascii="楷体" w:hAnsi="楷体" w:eastAsia="楷体"/>
          <w:color w:val="auto"/>
          <w:sz w:val="21"/>
          <w:szCs w:val="21"/>
        </w:rPr>
        <w:t>（</w:t>
      </w:r>
      <w:r>
        <w:rPr>
          <w:rFonts w:hint="eastAsia" w:ascii="楷体" w:hAnsi="楷体" w:eastAsia="楷体"/>
          <w:color w:val="auto"/>
          <w:sz w:val="21"/>
          <w:szCs w:val="21"/>
          <w:lang w:val="en-US" w:eastAsia="zh-CN"/>
        </w:rPr>
        <w:t>三</w:t>
      </w:r>
      <w:r>
        <w:rPr>
          <w:rFonts w:hint="eastAsia" w:ascii="楷体" w:hAnsi="楷体" w:eastAsia="楷体"/>
          <w:color w:val="auto"/>
          <w:sz w:val="21"/>
          <w:szCs w:val="21"/>
        </w:rPr>
        <w:t>）行政</w:t>
      </w:r>
      <w:r>
        <w:rPr>
          <w:rFonts w:hint="eastAsia" w:ascii="楷体" w:hAnsi="楷体" w:eastAsia="楷体"/>
          <w:color w:val="auto"/>
          <w:sz w:val="21"/>
          <w:szCs w:val="21"/>
          <w:lang w:val="en-US" w:eastAsia="zh-CN"/>
        </w:rPr>
        <w:t>检查</w:t>
      </w:r>
      <w:r>
        <w:rPr>
          <w:rFonts w:hint="eastAsia" w:ascii="楷体" w:hAnsi="楷体" w:eastAsia="楷体"/>
          <w:color w:val="auto"/>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2739"/>
        <w:gridCol w:w="6842"/>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w:t>
            </w:r>
          </w:p>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类别</w:t>
            </w:r>
          </w:p>
        </w:tc>
        <w:tc>
          <w:tcPr>
            <w:tcW w:w="1276"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职权名称</w:t>
            </w:r>
          </w:p>
        </w:tc>
        <w:tc>
          <w:tcPr>
            <w:tcW w:w="2739"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实施依据</w:t>
            </w:r>
          </w:p>
        </w:tc>
        <w:tc>
          <w:tcPr>
            <w:tcW w:w="6842"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责任事项（岗位责任）</w:t>
            </w:r>
          </w:p>
        </w:tc>
        <w:tc>
          <w:tcPr>
            <w:tcW w:w="2893"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817" w:type="dxa"/>
            <w:vMerge w:val="restart"/>
            <w:vAlign w:val="center"/>
          </w:tcPr>
          <w:p>
            <w:pPr>
              <w:spacing w:line="240" w:lineRule="atLeast"/>
              <w:jc w:val="center"/>
              <w:rPr>
                <w:rFonts w:hint="eastAsia" w:ascii="仿宋" w:hAnsi="仿宋" w:eastAsia="仿宋"/>
                <w:color w:val="auto"/>
                <w:sz w:val="21"/>
                <w:szCs w:val="21"/>
              </w:rPr>
            </w:pPr>
            <w:r>
              <w:rPr>
                <w:rFonts w:hint="eastAsia" w:ascii="仿宋" w:hAnsi="仿宋" w:eastAsia="仿宋"/>
                <w:color w:val="auto"/>
                <w:sz w:val="21"/>
                <w:szCs w:val="21"/>
              </w:rPr>
              <w:t>行政</w:t>
            </w:r>
            <w:r>
              <w:rPr>
                <w:rFonts w:hint="eastAsia" w:ascii="仿宋" w:hAnsi="仿宋" w:eastAsia="仿宋"/>
                <w:color w:val="auto"/>
                <w:sz w:val="21"/>
                <w:szCs w:val="21"/>
                <w:lang w:val="en-US" w:eastAsia="zh-CN"/>
              </w:rPr>
              <w:t>检查</w:t>
            </w:r>
            <w:r>
              <w:rPr>
                <w:rFonts w:hint="eastAsia" w:ascii="仿宋" w:hAnsi="仿宋" w:eastAsia="仿宋"/>
                <w:color w:val="auto"/>
                <w:sz w:val="21"/>
                <w:szCs w:val="21"/>
              </w:rPr>
              <w:t>类</w:t>
            </w:r>
          </w:p>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14</w:t>
            </w:r>
          </w:p>
          <w:p>
            <w:pPr>
              <w:spacing w:line="240" w:lineRule="atLeast"/>
              <w:jc w:val="center"/>
              <w:rPr>
                <w:rFonts w:ascii="仿宋" w:hAnsi="仿宋" w:eastAsia="仿宋"/>
                <w:color w:val="auto"/>
                <w:sz w:val="21"/>
                <w:szCs w:val="21"/>
              </w:rPr>
            </w:pPr>
            <w:r>
              <w:rPr>
                <w:rFonts w:hint="eastAsia" w:ascii="仿宋" w:hAnsi="仿宋" w:eastAsia="仿宋"/>
                <w:color w:val="auto"/>
                <w:sz w:val="21"/>
                <w:szCs w:val="21"/>
                <w:lang w:val="en-US" w:eastAsia="zh-CN"/>
              </w:rPr>
              <w:t>条</w:t>
            </w:r>
          </w:p>
        </w:tc>
        <w:tc>
          <w:tcPr>
            <w:tcW w:w="1276" w:type="dxa"/>
            <w:vMerge w:val="restart"/>
            <w:vAlign w:val="center"/>
          </w:tcPr>
          <w:p>
            <w:pPr>
              <w:spacing w:line="240" w:lineRule="atLeast"/>
              <w:jc w:val="center"/>
              <w:rPr>
                <w:rFonts w:hint="default" w:ascii="仿宋" w:hAnsi="仿宋" w:eastAsia="仿宋"/>
                <w:color w:val="auto"/>
                <w:sz w:val="21"/>
                <w:szCs w:val="21"/>
                <w:lang w:val="en-US" w:eastAsia="zh-CN"/>
              </w:rPr>
            </w:pPr>
            <w:r>
              <w:rPr>
                <w:rFonts w:hint="eastAsia" w:ascii="仿宋" w:hAnsi="仿宋" w:eastAsia="仿宋"/>
                <w:color w:val="auto"/>
                <w:sz w:val="21"/>
                <w:szCs w:val="21"/>
                <w:lang w:val="en-US" w:eastAsia="zh-CN"/>
              </w:rPr>
              <w:t>对安全培训机构的行政检查</w:t>
            </w:r>
          </w:p>
        </w:tc>
        <w:tc>
          <w:tcPr>
            <w:tcW w:w="2739" w:type="dxa"/>
            <w:vMerge w:val="restart"/>
            <w:vAlign w:val="center"/>
          </w:tcPr>
          <w:p>
            <w:pPr>
              <w:spacing w:line="240" w:lineRule="atLeast"/>
              <w:rPr>
                <w:rFonts w:hint="eastAsia" w:ascii="仿宋" w:hAnsi="仿宋" w:eastAsia="仿宋"/>
                <w:color w:val="auto"/>
                <w:sz w:val="21"/>
                <w:szCs w:val="21"/>
                <w:lang w:val="en-US" w:eastAsia="zh-CN"/>
              </w:rPr>
            </w:pPr>
            <w:r>
              <w:rPr>
                <w:rFonts w:hint="eastAsia" w:ascii="仿宋" w:hAnsi="仿宋" w:eastAsia="仿宋"/>
                <w:color w:val="auto"/>
                <w:sz w:val="21"/>
                <w:szCs w:val="21"/>
                <w:lang w:eastAsia="zh-CN"/>
              </w:rPr>
              <w:t>《安全生产培训管理办法》第二十九条安全生产监督管理部门和煤矿安全培训监管机构应当对安全培训机构开展安全培训活动的情况进行监督检查,检查内容包</w:t>
            </w:r>
            <w:r>
              <w:rPr>
                <w:rFonts w:hint="eastAsia" w:ascii="仿宋" w:hAnsi="仿宋" w:eastAsia="仿宋"/>
                <w:color w:val="auto"/>
                <w:sz w:val="21"/>
                <w:szCs w:val="21"/>
                <w:lang w:val="en-US" w:eastAsia="zh-CN"/>
              </w:rPr>
              <w:t>括：</w:t>
            </w:r>
          </w:p>
          <w:p>
            <w:pPr>
              <w:numPr>
                <w:ilvl w:val="0"/>
                <w:numId w:val="1"/>
              </w:numPr>
              <w:spacing w:line="240" w:lineRule="atLeast"/>
              <w:rPr>
                <w:rFonts w:hint="default" w:ascii="仿宋" w:hAnsi="仿宋" w:eastAsia="仿宋"/>
                <w:color w:val="auto"/>
                <w:sz w:val="21"/>
                <w:szCs w:val="21"/>
                <w:lang w:val="en-US" w:eastAsia="zh-CN"/>
              </w:rPr>
            </w:pPr>
            <w:r>
              <w:rPr>
                <w:rFonts w:hint="default" w:ascii="仿宋" w:hAnsi="仿宋" w:eastAsia="仿宋"/>
                <w:color w:val="auto"/>
                <w:sz w:val="21"/>
                <w:szCs w:val="21"/>
                <w:lang w:val="en-US" w:eastAsia="zh-CN"/>
              </w:rPr>
              <w:t xml:space="preserve">具备从事安全培训工作所需要的条件的情况: </w:t>
            </w:r>
          </w:p>
          <w:p>
            <w:pPr>
              <w:numPr>
                <w:ilvl w:val="0"/>
                <w:numId w:val="1"/>
              </w:numPr>
              <w:spacing w:line="240" w:lineRule="atLeast"/>
              <w:rPr>
                <w:rFonts w:hint="default" w:ascii="仿宋" w:hAnsi="仿宋" w:eastAsia="仿宋"/>
                <w:color w:val="auto"/>
                <w:sz w:val="21"/>
                <w:szCs w:val="21"/>
                <w:lang w:val="en-US" w:eastAsia="zh-CN"/>
              </w:rPr>
            </w:pPr>
            <w:r>
              <w:rPr>
                <w:rFonts w:hint="default" w:ascii="仿宋" w:hAnsi="仿宋" w:eastAsia="仿宋"/>
                <w:color w:val="auto"/>
                <w:sz w:val="21"/>
                <w:szCs w:val="21"/>
                <w:lang w:val="en-US" w:eastAsia="zh-CN"/>
              </w:rPr>
              <w:t>建立培训管理制度和教师配备的情况:</w:t>
            </w:r>
          </w:p>
          <w:p>
            <w:pPr>
              <w:numPr>
                <w:ilvl w:val="0"/>
                <w:numId w:val="1"/>
              </w:numPr>
              <w:spacing w:line="240" w:lineRule="atLeast"/>
              <w:rPr>
                <w:rFonts w:hint="default" w:ascii="仿宋" w:hAnsi="仿宋" w:eastAsia="仿宋"/>
                <w:color w:val="auto"/>
                <w:sz w:val="21"/>
                <w:szCs w:val="21"/>
                <w:lang w:val="en-US" w:eastAsia="zh-CN"/>
              </w:rPr>
            </w:pPr>
            <w:r>
              <w:rPr>
                <w:rFonts w:hint="default" w:ascii="仿宋" w:hAnsi="仿宋" w:eastAsia="仿宋"/>
                <w:color w:val="auto"/>
                <w:sz w:val="21"/>
                <w:szCs w:val="21"/>
                <w:lang w:val="en-US" w:eastAsia="zh-CN"/>
              </w:rPr>
              <w:t>执行培训大纲、建立培训档案和培训保障的</w:t>
            </w:r>
            <w:r>
              <w:rPr>
                <w:rFonts w:hint="eastAsia" w:ascii="仿宋" w:hAnsi="仿宋" w:eastAsia="仿宋"/>
                <w:color w:val="auto"/>
                <w:sz w:val="21"/>
                <w:szCs w:val="21"/>
                <w:lang w:val="en-US" w:eastAsia="zh-CN"/>
              </w:rPr>
              <w:t>情况；</w:t>
            </w:r>
          </w:p>
          <w:p>
            <w:pPr>
              <w:numPr>
                <w:ilvl w:val="0"/>
                <w:numId w:val="1"/>
              </w:numPr>
              <w:spacing w:line="240" w:lineRule="atLeast"/>
              <w:rPr>
                <w:rFonts w:hint="default" w:ascii="仿宋" w:hAnsi="仿宋" w:eastAsia="仿宋"/>
                <w:color w:val="auto"/>
                <w:sz w:val="21"/>
                <w:szCs w:val="21"/>
                <w:lang w:val="en-US" w:eastAsia="zh-CN"/>
              </w:rPr>
            </w:pPr>
            <w:r>
              <w:rPr>
                <w:rFonts w:hint="default" w:ascii="仿宋" w:hAnsi="仿宋" w:eastAsia="仿宋"/>
                <w:color w:val="auto"/>
                <w:sz w:val="21"/>
                <w:szCs w:val="21"/>
                <w:lang w:val="en-US" w:eastAsia="zh-CN"/>
              </w:rPr>
              <w:t>培训收费的情况;</w:t>
            </w:r>
          </w:p>
          <w:p>
            <w:pPr>
              <w:numPr>
                <w:ilvl w:val="0"/>
                <w:numId w:val="1"/>
              </w:numPr>
              <w:spacing w:line="240" w:lineRule="atLeast"/>
              <w:rPr>
                <w:rFonts w:hint="default" w:ascii="仿宋" w:hAnsi="仿宋" w:eastAsia="仿宋"/>
                <w:color w:val="auto"/>
                <w:sz w:val="21"/>
                <w:szCs w:val="21"/>
                <w:lang w:val="en-US" w:eastAsia="zh-CN"/>
              </w:rPr>
            </w:pPr>
            <w:r>
              <w:rPr>
                <w:rFonts w:hint="default" w:ascii="仿宋" w:hAnsi="仿宋" w:eastAsia="仿宋"/>
                <w:color w:val="auto"/>
                <w:sz w:val="21"/>
                <w:szCs w:val="21"/>
                <w:lang w:val="en-US" w:eastAsia="zh-CN"/>
              </w:rPr>
              <w:t>法律法规规定的其他内容</w:t>
            </w:r>
          </w:p>
          <w:p>
            <w:pPr>
              <w:numPr>
                <w:ilvl w:val="0"/>
                <w:numId w:val="0"/>
              </w:numPr>
              <w:spacing w:line="240" w:lineRule="atLeast"/>
              <w:rPr>
                <w:rFonts w:hint="default" w:ascii="仿宋" w:hAnsi="仿宋" w:eastAsia="仿宋"/>
                <w:color w:val="auto"/>
                <w:sz w:val="21"/>
                <w:szCs w:val="21"/>
                <w:lang w:val="en-US" w:eastAsia="zh-CN"/>
              </w:rPr>
            </w:pPr>
          </w:p>
        </w:tc>
        <w:tc>
          <w:tcPr>
            <w:tcW w:w="6842" w:type="dxa"/>
            <w:vAlign w:val="center"/>
          </w:tcPr>
          <w:p>
            <w:pPr>
              <w:spacing w:line="240" w:lineRule="atLeast"/>
              <w:jc w:val="left"/>
              <w:rPr>
                <w:rFonts w:hint="eastAsia" w:ascii="仿宋" w:hAnsi="仿宋" w:eastAsia="仿宋"/>
                <w:color w:val="auto"/>
                <w:sz w:val="21"/>
                <w:szCs w:val="21"/>
                <w:lang w:eastAsia="zh-CN"/>
              </w:rPr>
            </w:pPr>
            <w:r>
              <w:rPr>
                <w:rFonts w:hint="eastAsia" w:ascii="仿宋" w:hAnsi="仿宋" w:eastAsia="仿宋"/>
                <w:color w:val="auto"/>
                <w:sz w:val="21"/>
                <w:szCs w:val="21"/>
              </w:rPr>
              <w:t>1.检查责任(检查岗) :按照法律法规规定和程序实施检查,实事求是,证据完整、确凿,监督检查人员不得少于二人,并应当出示合法证件</w:t>
            </w:r>
            <w:r>
              <w:rPr>
                <w:rFonts w:hint="eastAsia" w:ascii="仿宋" w:hAnsi="仿宋" w:eastAsia="仿宋"/>
                <w:color w:val="auto"/>
                <w:sz w:val="21"/>
                <w:szCs w:val="21"/>
                <w:lang w:eastAsia="zh-CN"/>
              </w:rPr>
              <w:t>。</w:t>
            </w:r>
          </w:p>
        </w:tc>
        <w:tc>
          <w:tcPr>
            <w:tcW w:w="2893"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7"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2739" w:type="dxa"/>
            <w:vMerge w:val="continue"/>
            <w:vAlign w:val="center"/>
          </w:tcPr>
          <w:p>
            <w:pPr>
              <w:spacing w:line="240" w:lineRule="atLeast"/>
              <w:jc w:val="center"/>
              <w:rPr>
                <w:color w:val="auto"/>
                <w:sz w:val="21"/>
                <w:szCs w:val="21"/>
              </w:rPr>
            </w:pPr>
          </w:p>
        </w:tc>
        <w:tc>
          <w:tcPr>
            <w:tcW w:w="6842" w:type="dxa"/>
            <w:vAlign w:val="center"/>
          </w:tcPr>
          <w:p>
            <w:pPr>
              <w:spacing w:line="240" w:lineRule="atLeast"/>
              <w:jc w:val="left"/>
              <w:rPr>
                <w:rFonts w:hint="default" w:ascii="仿宋" w:hAnsi="仿宋" w:eastAsia="仿宋"/>
                <w:color w:val="auto"/>
                <w:sz w:val="21"/>
                <w:szCs w:val="21"/>
                <w:lang w:val="en-US" w:eastAsia="zh-CN"/>
              </w:rPr>
            </w:pPr>
            <w:r>
              <w:rPr>
                <w:rFonts w:hint="eastAsia" w:ascii="仿宋" w:hAnsi="仿宋" w:eastAsia="仿宋"/>
                <w:color w:val="auto"/>
                <w:sz w:val="21"/>
                <w:szCs w:val="21"/>
              </w:rPr>
              <w:t>2</w:t>
            </w:r>
            <w:r>
              <w:rPr>
                <w:rFonts w:hint="eastAsia" w:ascii="仿宋" w:hAnsi="仿宋" w:eastAsia="仿宋"/>
                <w:color w:val="auto"/>
                <w:sz w:val="21"/>
                <w:szCs w:val="21"/>
                <w:lang w:val="en-US" w:eastAsia="zh-CN"/>
              </w:rPr>
              <w:t>.</w:t>
            </w:r>
            <w:r>
              <w:rPr>
                <w:rFonts w:hint="eastAsia" w:ascii="仿宋" w:hAnsi="仿宋" w:eastAsia="仿宋"/>
                <w:color w:val="auto"/>
                <w:sz w:val="21"/>
                <w:szCs w:val="21"/>
              </w:rPr>
              <w:t>处置责任(处置岗) :依法处置,不得违</w:t>
            </w:r>
            <w:r>
              <w:rPr>
                <w:rFonts w:hint="eastAsia" w:ascii="仿宋" w:hAnsi="仿宋" w:eastAsia="仿宋"/>
                <w:color w:val="auto"/>
                <w:sz w:val="21"/>
                <w:szCs w:val="21"/>
                <w:lang w:val="en-US" w:eastAsia="zh-CN"/>
              </w:rPr>
              <w:t>反法律法规。</w:t>
            </w:r>
          </w:p>
        </w:tc>
        <w:tc>
          <w:tcPr>
            <w:tcW w:w="2893" w:type="dxa"/>
            <w:vMerge w:val="continue"/>
            <w:vAlign w:val="center"/>
          </w:tcPr>
          <w:p>
            <w:pPr>
              <w:spacing w:line="240" w:lineRule="atLeast"/>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2739" w:type="dxa"/>
            <w:vMerge w:val="continue"/>
            <w:vAlign w:val="center"/>
          </w:tcPr>
          <w:p>
            <w:pPr>
              <w:spacing w:line="240" w:lineRule="atLeast"/>
              <w:jc w:val="center"/>
              <w:rPr>
                <w:color w:val="auto"/>
                <w:sz w:val="21"/>
                <w:szCs w:val="21"/>
              </w:rPr>
            </w:pPr>
          </w:p>
        </w:tc>
        <w:tc>
          <w:tcPr>
            <w:tcW w:w="6842" w:type="dxa"/>
            <w:vAlign w:val="center"/>
          </w:tcPr>
          <w:p>
            <w:pPr>
              <w:spacing w:line="240" w:lineRule="atLeast"/>
              <w:jc w:val="left"/>
              <w:rPr>
                <w:rFonts w:hint="default" w:ascii="仿宋" w:hAnsi="仿宋" w:eastAsia="仿宋"/>
                <w:color w:val="auto"/>
                <w:sz w:val="21"/>
                <w:szCs w:val="21"/>
                <w:lang w:val="en-US" w:eastAsia="zh-CN"/>
              </w:rPr>
            </w:pPr>
            <w:r>
              <w:rPr>
                <w:rFonts w:hint="eastAsia" w:ascii="仿宋" w:hAnsi="仿宋" w:eastAsia="仿宋"/>
                <w:color w:val="auto"/>
                <w:sz w:val="21"/>
                <w:szCs w:val="21"/>
              </w:rPr>
              <w:t>3,公开责任(公开岗) :依法律法规</w:t>
            </w:r>
            <w:r>
              <w:rPr>
                <w:rFonts w:hint="eastAsia" w:ascii="仿宋" w:hAnsi="仿宋" w:eastAsia="仿宋"/>
                <w:color w:val="auto"/>
                <w:sz w:val="21"/>
                <w:szCs w:val="21"/>
                <w:lang w:eastAsia="zh-CN"/>
              </w:rPr>
              <w:t>，</w:t>
            </w:r>
            <w:r>
              <w:rPr>
                <w:rFonts w:hint="eastAsia" w:ascii="仿宋" w:hAnsi="仿宋" w:eastAsia="仿宋"/>
                <w:color w:val="auto"/>
                <w:sz w:val="21"/>
                <w:szCs w:val="21"/>
                <w:lang w:val="en-US" w:eastAsia="zh-CN"/>
              </w:rPr>
              <w:t>按照程序办理信息公开事项.</w:t>
            </w:r>
          </w:p>
        </w:tc>
        <w:tc>
          <w:tcPr>
            <w:tcW w:w="2893" w:type="dxa"/>
            <w:vMerge w:val="continue"/>
            <w:vAlign w:val="center"/>
          </w:tcPr>
          <w:p>
            <w:pPr>
              <w:spacing w:line="240" w:lineRule="atLeast"/>
              <w:jc w:val="center"/>
              <w:rPr>
                <w:color w:val="auto"/>
                <w:sz w:val="21"/>
                <w:szCs w:val="21"/>
              </w:rPr>
            </w:pPr>
          </w:p>
        </w:tc>
      </w:tr>
    </w:tbl>
    <w:p>
      <w:pPr>
        <w:jc w:val="center"/>
        <w:rPr>
          <w:rFonts w:hint="eastAsia"/>
          <w:color w:val="auto"/>
          <w:sz w:val="21"/>
          <w:szCs w:val="21"/>
          <w:lang w:eastAsia="zh-CN"/>
        </w:rPr>
      </w:pPr>
    </w:p>
    <w:p>
      <w:pPr>
        <w:jc w:val="center"/>
        <w:rPr>
          <w:rFonts w:hint="eastAsia"/>
          <w:color w:val="auto"/>
          <w:sz w:val="21"/>
          <w:szCs w:val="21"/>
          <w:lang w:eastAsia="zh-CN"/>
        </w:rPr>
      </w:pPr>
    </w:p>
    <w:p>
      <w:pPr>
        <w:jc w:val="center"/>
        <w:rPr>
          <w:rFonts w:hint="eastAsia"/>
          <w:color w:val="auto"/>
          <w:sz w:val="21"/>
          <w:szCs w:val="21"/>
          <w:lang w:eastAsia="zh-CN"/>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hint="default" w:ascii="楷体" w:hAnsi="楷体" w:eastAsia="楷体"/>
          <w:color w:val="auto"/>
          <w:sz w:val="21"/>
          <w:szCs w:val="21"/>
          <w:lang w:val="en-US"/>
        </w:rPr>
      </w:pPr>
      <w:r>
        <w:rPr>
          <w:rFonts w:hint="eastAsia" w:ascii="楷体" w:hAnsi="楷体" w:eastAsia="楷体"/>
          <w:color w:val="auto"/>
          <w:sz w:val="21"/>
          <w:szCs w:val="21"/>
        </w:rPr>
        <w:t>（</w:t>
      </w:r>
      <w:r>
        <w:rPr>
          <w:rFonts w:hint="eastAsia" w:ascii="楷体" w:hAnsi="楷体" w:eastAsia="楷体"/>
          <w:color w:val="auto"/>
          <w:sz w:val="21"/>
          <w:szCs w:val="21"/>
          <w:lang w:val="en-US" w:eastAsia="zh-CN"/>
        </w:rPr>
        <w:t>三</w:t>
      </w:r>
      <w:r>
        <w:rPr>
          <w:rFonts w:hint="eastAsia" w:ascii="楷体" w:hAnsi="楷体" w:eastAsia="楷体"/>
          <w:color w:val="auto"/>
          <w:sz w:val="21"/>
          <w:szCs w:val="21"/>
        </w:rPr>
        <w:t>）行政</w:t>
      </w:r>
      <w:r>
        <w:rPr>
          <w:rFonts w:hint="eastAsia" w:ascii="楷体" w:hAnsi="楷体" w:eastAsia="楷体"/>
          <w:color w:val="auto"/>
          <w:sz w:val="21"/>
          <w:szCs w:val="21"/>
          <w:lang w:eastAsia="zh-CN"/>
        </w:rPr>
        <w:t>检查</w:t>
      </w:r>
      <w:r>
        <w:rPr>
          <w:rFonts w:hint="eastAsia" w:ascii="楷体" w:hAnsi="楷体" w:eastAsia="楷体"/>
          <w:color w:val="auto"/>
          <w:sz w:val="21"/>
          <w:szCs w:val="21"/>
          <w:lang w:val="en-US" w:eastAsia="zh-CN"/>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6239"/>
        <w:gridCol w:w="4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w:t>
            </w:r>
          </w:p>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类别</w:t>
            </w:r>
          </w:p>
        </w:tc>
        <w:tc>
          <w:tcPr>
            <w:tcW w:w="1276"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职权名称</w:t>
            </w:r>
          </w:p>
        </w:tc>
        <w:tc>
          <w:tcPr>
            <w:tcW w:w="1843"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实施依据</w:t>
            </w:r>
          </w:p>
        </w:tc>
        <w:tc>
          <w:tcPr>
            <w:tcW w:w="6239"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责任事项（岗位责任）</w:t>
            </w:r>
          </w:p>
        </w:tc>
        <w:tc>
          <w:tcPr>
            <w:tcW w:w="4392" w:type="dxa"/>
            <w:vAlign w:val="center"/>
          </w:tcPr>
          <w:p>
            <w:pPr>
              <w:spacing w:line="240" w:lineRule="atLeast"/>
              <w:jc w:val="center"/>
              <w:rPr>
                <w:rFonts w:ascii="黑体" w:hAnsi="黑体" w:eastAsia="黑体"/>
                <w:color w:val="auto"/>
                <w:sz w:val="21"/>
                <w:szCs w:val="21"/>
              </w:rPr>
            </w:pPr>
            <w:r>
              <w:rPr>
                <w:rFonts w:hint="eastAsia" w:ascii="黑体" w:hAnsi="黑体" w:eastAsia="黑体"/>
                <w:color w:val="auto"/>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2" w:hRule="atLeast"/>
          <w:jc w:val="center"/>
        </w:trPr>
        <w:tc>
          <w:tcPr>
            <w:tcW w:w="817" w:type="dxa"/>
            <w:vMerge w:val="restart"/>
            <w:vAlign w:val="center"/>
          </w:tcPr>
          <w:p>
            <w:pPr>
              <w:spacing w:line="240" w:lineRule="atLeast"/>
              <w:jc w:val="center"/>
              <w:rPr>
                <w:rFonts w:ascii="仿宋" w:hAnsi="仿宋" w:eastAsia="仿宋"/>
                <w:color w:val="auto"/>
                <w:sz w:val="21"/>
                <w:szCs w:val="21"/>
              </w:rPr>
            </w:pPr>
            <w:r>
              <w:rPr>
                <w:rFonts w:hint="eastAsia" w:ascii="仿宋" w:hAnsi="仿宋" w:eastAsia="仿宋"/>
                <w:color w:val="auto"/>
                <w:sz w:val="21"/>
                <w:szCs w:val="21"/>
              </w:rPr>
              <w:t>行政</w:t>
            </w:r>
            <w:r>
              <w:rPr>
                <w:rFonts w:hint="eastAsia" w:ascii="仿宋" w:hAnsi="仿宋" w:eastAsia="仿宋"/>
                <w:color w:val="auto"/>
                <w:sz w:val="21"/>
                <w:szCs w:val="21"/>
                <w:lang w:eastAsia="zh-CN"/>
              </w:rPr>
              <w:t>检查</w:t>
            </w:r>
            <w:r>
              <w:rPr>
                <w:rFonts w:hint="eastAsia" w:ascii="仿宋" w:hAnsi="仿宋" w:eastAsia="仿宋"/>
                <w:color w:val="auto"/>
                <w:sz w:val="21"/>
                <w:szCs w:val="21"/>
              </w:rPr>
              <w:t>类</w:t>
            </w:r>
          </w:p>
        </w:tc>
        <w:tc>
          <w:tcPr>
            <w:tcW w:w="1276" w:type="dxa"/>
            <w:vMerge w:val="restart"/>
            <w:vAlign w:val="center"/>
          </w:tcPr>
          <w:p>
            <w:pPr>
              <w:spacing w:line="240" w:lineRule="atLeast"/>
              <w:jc w:val="center"/>
              <w:rPr>
                <w:rFonts w:hint="eastAsia" w:ascii="仿宋" w:hAnsi="仿宋" w:eastAsia="仿宋"/>
                <w:color w:val="auto"/>
                <w:sz w:val="21"/>
                <w:szCs w:val="21"/>
                <w:lang w:eastAsia="zh-CN"/>
              </w:rPr>
            </w:pPr>
            <w:r>
              <w:rPr>
                <w:rFonts w:hint="eastAsia" w:ascii="仿宋" w:hAnsi="仿宋" w:eastAsia="仿宋"/>
                <w:color w:val="auto"/>
                <w:sz w:val="21"/>
                <w:szCs w:val="21"/>
                <w:lang w:eastAsia="zh-CN"/>
              </w:rPr>
              <w:t>对生产经营单位安全生产情况的监督检查</w:t>
            </w:r>
          </w:p>
        </w:tc>
        <w:tc>
          <w:tcPr>
            <w:tcW w:w="1843" w:type="dxa"/>
            <w:vMerge w:val="restart"/>
            <w:vAlign w:val="center"/>
          </w:tcPr>
          <w:p>
            <w:pPr>
              <w:spacing w:line="240" w:lineRule="atLeast"/>
              <w:rPr>
                <w:rFonts w:ascii="仿宋" w:hAnsi="仿宋" w:eastAsia="仿宋"/>
                <w:color w:val="auto"/>
                <w:sz w:val="21"/>
                <w:szCs w:val="21"/>
              </w:rPr>
            </w:pPr>
            <w:r>
              <w:rPr>
                <w:rFonts w:hint="eastAsia" w:ascii="仿宋" w:hAnsi="仿宋" w:eastAsia="仿宋"/>
                <w:color w:val="auto"/>
                <w:sz w:val="21"/>
                <w:szCs w:val="21"/>
              </w:rPr>
              <w:t>《</w:t>
            </w:r>
            <w:r>
              <w:rPr>
                <w:rFonts w:hint="eastAsia" w:ascii="仿宋" w:hAnsi="仿宋" w:eastAsia="仿宋"/>
                <w:color w:val="auto"/>
                <w:sz w:val="21"/>
                <w:szCs w:val="21"/>
                <w:lang w:eastAsia="zh-CN"/>
              </w:rPr>
              <w:t>安全生产法</w:t>
            </w:r>
            <w:r>
              <w:rPr>
                <w:rFonts w:hint="eastAsia" w:ascii="仿宋" w:hAnsi="仿宋" w:eastAsia="仿宋"/>
                <w:color w:val="auto"/>
                <w:sz w:val="21"/>
                <w:szCs w:val="21"/>
              </w:rPr>
              <w:t>》第</w:t>
            </w:r>
            <w:r>
              <w:rPr>
                <w:rFonts w:hint="eastAsia" w:ascii="仿宋" w:hAnsi="仿宋" w:eastAsia="仿宋"/>
                <w:color w:val="auto"/>
                <w:sz w:val="21"/>
                <w:szCs w:val="21"/>
                <w:lang w:eastAsia="zh-CN"/>
              </w:rPr>
              <w:t>九</w:t>
            </w:r>
            <w:r>
              <w:rPr>
                <w:rFonts w:hint="eastAsia" w:ascii="仿宋" w:hAnsi="仿宋" w:eastAsia="仿宋"/>
                <w:color w:val="auto"/>
                <w:sz w:val="21"/>
                <w:szCs w:val="21"/>
              </w:rPr>
              <w:t>条</w:t>
            </w:r>
          </w:p>
        </w:tc>
        <w:tc>
          <w:tcPr>
            <w:tcW w:w="6239"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1、</w:t>
            </w:r>
            <w:r>
              <w:rPr>
                <w:rFonts w:hint="eastAsia" w:ascii="仿宋" w:hAnsi="仿宋" w:eastAsia="仿宋"/>
                <w:color w:val="auto"/>
                <w:sz w:val="21"/>
                <w:szCs w:val="21"/>
                <w:lang w:eastAsia="zh-CN"/>
              </w:rPr>
              <w:t>检查责任（检查岗）：按照法律法规规定和程序实施检查、实事求是，证据完整、确凿</w:t>
            </w:r>
            <w:r>
              <w:rPr>
                <w:rFonts w:hint="eastAsia" w:ascii="仿宋" w:hAnsi="仿宋" w:eastAsia="仿宋"/>
                <w:color w:val="auto"/>
                <w:sz w:val="21"/>
                <w:szCs w:val="21"/>
              </w:rPr>
              <w:t>。</w:t>
            </w:r>
            <w:r>
              <w:rPr>
                <w:rFonts w:hint="eastAsia" w:ascii="仿宋" w:hAnsi="仿宋" w:eastAsia="仿宋"/>
                <w:color w:val="auto"/>
                <w:sz w:val="21"/>
                <w:szCs w:val="21"/>
                <w:lang w:eastAsia="zh-CN"/>
              </w:rPr>
              <w:t>监督检查人员不得少于二人，并应当出示合法证件。</w:t>
            </w:r>
          </w:p>
        </w:tc>
        <w:tc>
          <w:tcPr>
            <w:tcW w:w="4392" w:type="dxa"/>
            <w:vMerge w:val="restart"/>
            <w:vAlign w:val="center"/>
          </w:tcPr>
          <w:p>
            <w:pPr>
              <w:spacing w:line="240" w:lineRule="atLeast"/>
              <w:ind w:firstLine="420" w:firstLineChars="200"/>
              <w:jc w:val="left"/>
              <w:rPr>
                <w:rFonts w:ascii="仿宋" w:hAnsi="仿宋" w:eastAsia="仿宋"/>
                <w:color w:val="auto"/>
                <w:sz w:val="21"/>
                <w:szCs w:val="21"/>
              </w:rPr>
            </w:pPr>
            <w:r>
              <w:rPr>
                <w:rFonts w:hint="eastAsia" w:ascii="仿宋" w:hAnsi="仿宋" w:eastAsia="仿宋"/>
                <w:color w:val="auto"/>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color w:val="auto"/>
                <w:sz w:val="21"/>
                <w:szCs w:val="21"/>
              </w:rPr>
            </w:pPr>
            <w:r>
              <w:rPr>
                <w:rFonts w:hint="eastAsia" w:ascii="仿宋" w:hAnsi="仿宋" w:eastAsia="仿宋"/>
                <w:color w:val="auto"/>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2"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1843" w:type="dxa"/>
            <w:vMerge w:val="continue"/>
            <w:vAlign w:val="center"/>
          </w:tcPr>
          <w:p>
            <w:pPr>
              <w:spacing w:line="240" w:lineRule="atLeast"/>
              <w:jc w:val="center"/>
              <w:rPr>
                <w:color w:val="auto"/>
                <w:sz w:val="21"/>
                <w:szCs w:val="21"/>
              </w:rPr>
            </w:pPr>
          </w:p>
        </w:tc>
        <w:tc>
          <w:tcPr>
            <w:tcW w:w="6239"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2、</w:t>
            </w:r>
            <w:r>
              <w:rPr>
                <w:rFonts w:hint="eastAsia" w:ascii="仿宋" w:hAnsi="仿宋" w:eastAsia="仿宋"/>
                <w:color w:val="auto"/>
                <w:sz w:val="21"/>
                <w:szCs w:val="21"/>
                <w:lang w:eastAsia="zh-CN"/>
              </w:rPr>
              <w:t>处置责任（处置岗）：依法处置，不得违反法律法规。</w:t>
            </w:r>
            <w:r>
              <w:rPr>
                <w:rFonts w:hint="eastAsia" w:ascii="仿宋" w:hAnsi="仿宋" w:eastAsia="仿宋"/>
                <w:color w:val="auto"/>
                <w:sz w:val="21"/>
                <w:szCs w:val="21"/>
              </w:rPr>
              <w:t>。</w:t>
            </w:r>
          </w:p>
        </w:tc>
        <w:tc>
          <w:tcPr>
            <w:tcW w:w="4392" w:type="dxa"/>
            <w:vMerge w:val="continue"/>
            <w:vAlign w:val="center"/>
          </w:tcPr>
          <w:p>
            <w:pPr>
              <w:spacing w:line="240" w:lineRule="atLeast"/>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jc w:val="center"/>
        </w:trPr>
        <w:tc>
          <w:tcPr>
            <w:tcW w:w="817" w:type="dxa"/>
            <w:vMerge w:val="continue"/>
            <w:vAlign w:val="center"/>
          </w:tcPr>
          <w:p>
            <w:pPr>
              <w:spacing w:line="240" w:lineRule="atLeast"/>
              <w:jc w:val="center"/>
              <w:rPr>
                <w:color w:val="auto"/>
                <w:sz w:val="21"/>
                <w:szCs w:val="21"/>
              </w:rPr>
            </w:pPr>
          </w:p>
        </w:tc>
        <w:tc>
          <w:tcPr>
            <w:tcW w:w="1276" w:type="dxa"/>
            <w:vMerge w:val="continue"/>
            <w:vAlign w:val="center"/>
          </w:tcPr>
          <w:p>
            <w:pPr>
              <w:spacing w:line="240" w:lineRule="atLeast"/>
              <w:jc w:val="center"/>
              <w:rPr>
                <w:color w:val="auto"/>
                <w:sz w:val="21"/>
                <w:szCs w:val="21"/>
              </w:rPr>
            </w:pPr>
          </w:p>
        </w:tc>
        <w:tc>
          <w:tcPr>
            <w:tcW w:w="1843" w:type="dxa"/>
            <w:vMerge w:val="continue"/>
            <w:vAlign w:val="center"/>
          </w:tcPr>
          <w:p>
            <w:pPr>
              <w:spacing w:line="240" w:lineRule="atLeast"/>
              <w:jc w:val="center"/>
              <w:rPr>
                <w:color w:val="auto"/>
                <w:sz w:val="21"/>
                <w:szCs w:val="21"/>
              </w:rPr>
            </w:pPr>
          </w:p>
        </w:tc>
        <w:tc>
          <w:tcPr>
            <w:tcW w:w="6239" w:type="dxa"/>
            <w:vAlign w:val="center"/>
          </w:tcPr>
          <w:p>
            <w:pPr>
              <w:spacing w:line="240" w:lineRule="atLeast"/>
              <w:jc w:val="left"/>
              <w:rPr>
                <w:rFonts w:ascii="仿宋" w:hAnsi="仿宋" w:eastAsia="仿宋"/>
                <w:color w:val="auto"/>
                <w:sz w:val="21"/>
                <w:szCs w:val="21"/>
              </w:rPr>
            </w:pPr>
            <w:r>
              <w:rPr>
                <w:rFonts w:hint="eastAsia" w:ascii="仿宋" w:hAnsi="仿宋" w:eastAsia="仿宋"/>
                <w:color w:val="auto"/>
                <w:sz w:val="21"/>
                <w:szCs w:val="21"/>
              </w:rPr>
              <w:t>3、</w:t>
            </w:r>
            <w:r>
              <w:rPr>
                <w:rFonts w:hint="eastAsia" w:ascii="仿宋" w:hAnsi="仿宋" w:eastAsia="仿宋"/>
                <w:color w:val="auto"/>
                <w:sz w:val="21"/>
                <w:szCs w:val="21"/>
                <w:lang w:eastAsia="zh-CN"/>
              </w:rPr>
              <w:t>公示责任（公示岗）：依法律法规，按照程序办理信息公开事项</w:t>
            </w:r>
            <w:r>
              <w:rPr>
                <w:rFonts w:hint="eastAsia" w:ascii="仿宋" w:hAnsi="仿宋" w:eastAsia="仿宋"/>
                <w:color w:val="auto"/>
                <w:sz w:val="21"/>
                <w:szCs w:val="21"/>
              </w:rPr>
              <w:t>。</w:t>
            </w:r>
          </w:p>
        </w:tc>
        <w:tc>
          <w:tcPr>
            <w:tcW w:w="4392" w:type="dxa"/>
            <w:vAlign w:val="center"/>
          </w:tcPr>
          <w:p>
            <w:pPr>
              <w:spacing w:line="240" w:lineRule="atLeast"/>
              <w:jc w:val="center"/>
              <w:rPr>
                <w:color w:val="auto"/>
                <w:sz w:val="21"/>
                <w:szCs w:val="21"/>
              </w:rPr>
            </w:pPr>
          </w:p>
        </w:tc>
      </w:tr>
    </w:tbl>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w:t>
      </w:r>
      <w:r>
        <w:rPr>
          <w:rFonts w:hint="eastAsia" w:ascii="楷体" w:hAnsi="楷体" w:eastAsia="楷体"/>
          <w:sz w:val="21"/>
          <w:szCs w:val="21"/>
          <w:lang w:val="en-US" w:eastAsia="zh-CN"/>
        </w:rPr>
        <w:t>四</w:t>
      </w:r>
      <w:r>
        <w:rPr>
          <w:rFonts w:hint="eastAsia" w:ascii="楷体" w:hAnsi="楷体" w:eastAsia="楷体"/>
          <w:sz w:val="21"/>
          <w:szCs w:val="21"/>
        </w:rPr>
        <w:t>）</w:t>
      </w:r>
      <w:r>
        <w:rPr>
          <w:rFonts w:hint="eastAsia" w:ascii="楷体" w:hAnsi="楷体" w:eastAsia="楷体"/>
          <w:sz w:val="21"/>
          <w:szCs w:val="21"/>
          <w:lang w:val="en-US" w:eastAsia="zh-CN"/>
        </w:rPr>
        <w:t>行政给付</w:t>
      </w:r>
      <w:r>
        <w:rPr>
          <w:rFonts w:hint="eastAsia" w:ascii="楷体" w:hAnsi="楷体" w:eastAsia="楷体"/>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5922"/>
        <w:gridCol w:w="1276"/>
        <w:gridCol w:w="795"/>
        <w:gridCol w:w="2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职权</w:t>
            </w:r>
          </w:p>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类别</w:t>
            </w:r>
          </w:p>
        </w:tc>
        <w:tc>
          <w:tcPr>
            <w:tcW w:w="1276"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职权名称</w:t>
            </w:r>
          </w:p>
        </w:tc>
        <w:tc>
          <w:tcPr>
            <w:tcW w:w="1843"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实施依据</w:t>
            </w:r>
          </w:p>
        </w:tc>
        <w:tc>
          <w:tcPr>
            <w:tcW w:w="5922"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责任事项（岗位责任）</w:t>
            </w:r>
          </w:p>
        </w:tc>
        <w:tc>
          <w:tcPr>
            <w:tcW w:w="1276"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办理期限</w:t>
            </w:r>
          </w:p>
        </w:tc>
        <w:tc>
          <w:tcPr>
            <w:tcW w:w="795"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收费情况</w:t>
            </w:r>
          </w:p>
        </w:tc>
        <w:tc>
          <w:tcPr>
            <w:tcW w:w="2638"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17" w:type="dxa"/>
            <w:vMerge w:val="restart"/>
            <w:vAlign w:val="center"/>
          </w:tcPr>
          <w:p>
            <w:pPr>
              <w:spacing w:line="240" w:lineRule="atLeast"/>
              <w:jc w:val="center"/>
              <w:rPr>
                <w:rFonts w:hint="default"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eastAsia="zh-CN"/>
              </w:rPr>
              <w:t>行政给付</w:t>
            </w:r>
          </w:p>
        </w:tc>
        <w:tc>
          <w:tcPr>
            <w:tcW w:w="1276" w:type="dxa"/>
            <w:vMerge w:val="restart"/>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i w:val="0"/>
                <w:iCs w:val="0"/>
                <w:caps w:val="0"/>
                <w:color w:val="5D5D5D"/>
                <w:spacing w:val="0"/>
                <w:sz w:val="21"/>
                <w:szCs w:val="21"/>
              </w:rPr>
              <w:t>自然灾害救助资金给付</w:t>
            </w:r>
          </w:p>
        </w:tc>
        <w:tc>
          <w:tcPr>
            <w:tcW w:w="1843" w:type="dxa"/>
            <w:vMerge w:val="restart"/>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i w:val="0"/>
                <w:iCs w:val="0"/>
                <w:caps w:val="0"/>
                <w:color w:val="5D5D5D"/>
                <w:spacing w:val="0"/>
                <w:sz w:val="21"/>
                <w:szCs w:val="21"/>
                <w:lang w:eastAsia="zh-CN"/>
              </w:rPr>
              <w:t>《自然灾害救助条例》（国务院令第577号）第十四条　、第十九条、第二十二条</w:t>
            </w:r>
          </w:p>
        </w:tc>
        <w:tc>
          <w:tcPr>
            <w:tcW w:w="5922" w:type="dxa"/>
            <w:tcBorders>
              <w:bottom w:val="single" w:color="auto" w:sz="4" w:space="0"/>
            </w:tcBorders>
            <w:vAlign w:val="center"/>
          </w:tcPr>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eastAsia" w:ascii="仿宋" w:hAnsi="仿宋" w:eastAsia="仿宋" w:cs="仿宋"/>
                <w:i w:val="0"/>
                <w:iCs w:val="0"/>
                <w:caps w:val="0"/>
                <w:color w:val="5D5D5D"/>
                <w:spacing w:val="0"/>
                <w:sz w:val="21"/>
                <w:szCs w:val="21"/>
                <w:lang w:val="en-US" w:eastAsia="zh-CN"/>
              </w:rPr>
            </w:pPr>
            <w:r>
              <w:rPr>
                <w:rFonts w:hint="eastAsia" w:ascii="仿宋" w:hAnsi="仿宋" w:eastAsia="仿宋" w:cs="仿宋"/>
                <w:i w:val="0"/>
                <w:iCs w:val="0"/>
                <w:caps w:val="0"/>
                <w:color w:val="5D5D5D"/>
                <w:spacing w:val="0"/>
                <w:sz w:val="21"/>
                <w:szCs w:val="21"/>
                <w:lang w:val="en-US" w:eastAsia="zh-CN"/>
              </w:rPr>
              <w:t>1.通过“全国自然灾害灾情报送系统”报送灾情；</w:t>
            </w:r>
          </w:p>
          <w:p>
            <w:pPr>
              <w:spacing w:line="240" w:lineRule="atLeast"/>
              <w:jc w:val="left"/>
              <w:rPr>
                <w:rFonts w:hint="eastAsia" w:ascii="仿宋" w:hAnsi="仿宋" w:eastAsia="仿宋" w:cs="仿宋"/>
                <w:sz w:val="21"/>
                <w:szCs w:val="21"/>
              </w:rPr>
            </w:pPr>
          </w:p>
        </w:tc>
        <w:tc>
          <w:tcPr>
            <w:tcW w:w="1276" w:type="dxa"/>
            <w:vAlign w:val="center"/>
          </w:tcPr>
          <w:p>
            <w:pPr>
              <w:spacing w:line="240" w:lineRule="atLeast"/>
              <w:jc w:val="center"/>
              <w:rPr>
                <w:rFonts w:hint="eastAsia" w:ascii="仿宋_GB2312" w:hAnsi="仿宋_GB2312" w:eastAsia="仿宋_GB2312" w:cs="仿宋_GB2312"/>
                <w:sz w:val="21"/>
                <w:szCs w:val="21"/>
              </w:rPr>
            </w:pPr>
          </w:p>
        </w:tc>
        <w:tc>
          <w:tcPr>
            <w:tcW w:w="795"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否</w:t>
            </w:r>
          </w:p>
        </w:tc>
        <w:tc>
          <w:tcPr>
            <w:tcW w:w="2638"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5922" w:type="dxa"/>
            <w:tcBorders>
              <w:bottom w:val="single" w:color="auto" w:sz="4" w:space="0"/>
            </w:tcBorders>
            <w:vAlign w:val="center"/>
          </w:tcPr>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eastAsia" w:ascii="仿宋" w:hAnsi="仿宋" w:eastAsia="仿宋" w:cs="仿宋"/>
                <w:i w:val="0"/>
                <w:iCs w:val="0"/>
                <w:caps w:val="0"/>
                <w:color w:val="5D5D5D"/>
                <w:spacing w:val="0"/>
                <w:sz w:val="21"/>
                <w:szCs w:val="21"/>
                <w:lang w:val="en-US" w:eastAsia="zh-CN"/>
              </w:rPr>
            </w:pPr>
            <w:r>
              <w:rPr>
                <w:rFonts w:hint="eastAsia" w:ascii="仿宋" w:hAnsi="仿宋" w:eastAsia="仿宋" w:cs="仿宋"/>
                <w:i w:val="0"/>
                <w:iCs w:val="0"/>
                <w:caps w:val="0"/>
                <w:color w:val="5D5D5D"/>
                <w:spacing w:val="0"/>
                <w:sz w:val="21"/>
                <w:szCs w:val="21"/>
                <w:lang w:val="en-US" w:eastAsia="zh-CN"/>
              </w:rPr>
              <w:t>2.市局拨付救灾资金给我局；</w:t>
            </w:r>
          </w:p>
          <w:p>
            <w:pPr>
              <w:spacing w:line="240" w:lineRule="atLeast"/>
              <w:jc w:val="left"/>
              <w:rPr>
                <w:rFonts w:hint="eastAsia" w:ascii="仿宋" w:hAnsi="仿宋" w:eastAsia="仿宋" w:cs="仿宋"/>
                <w:sz w:val="21"/>
                <w:szCs w:val="21"/>
              </w:rPr>
            </w:pPr>
          </w:p>
        </w:tc>
        <w:tc>
          <w:tcPr>
            <w:tcW w:w="1276" w:type="dxa"/>
            <w:vAlign w:val="center"/>
          </w:tcPr>
          <w:p>
            <w:pPr>
              <w:spacing w:line="240" w:lineRule="atLeast"/>
              <w:jc w:val="center"/>
              <w:rPr>
                <w:rFonts w:hint="eastAsia" w:ascii="仿宋_GB2312" w:hAnsi="仿宋_GB2312" w:eastAsia="仿宋_GB2312" w:cs="仿宋_GB2312"/>
                <w:sz w:val="21"/>
                <w:szCs w:val="21"/>
                <w:lang w:val="en-US" w:eastAsia="zh-CN"/>
              </w:rPr>
            </w:pP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5922" w:type="dxa"/>
            <w:tcBorders>
              <w:bottom w:val="single" w:color="auto" w:sz="4" w:space="0"/>
            </w:tcBorders>
            <w:vAlign w:val="center"/>
          </w:tcPr>
          <w:p>
            <w:pPr>
              <w:spacing w:line="240" w:lineRule="atLeast"/>
              <w:jc w:val="left"/>
              <w:rPr>
                <w:rFonts w:hint="eastAsia" w:ascii="仿宋" w:hAnsi="仿宋" w:eastAsia="仿宋" w:cs="仿宋"/>
                <w:sz w:val="21"/>
                <w:szCs w:val="21"/>
              </w:rPr>
            </w:pPr>
            <w:r>
              <w:rPr>
                <w:rFonts w:hint="eastAsia" w:ascii="仿宋" w:hAnsi="仿宋" w:eastAsia="仿宋" w:cs="仿宋"/>
                <w:i w:val="0"/>
                <w:iCs w:val="0"/>
                <w:caps w:val="0"/>
                <w:color w:val="5D5D5D"/>
                <w:spacing w:val="0"/>
                <w:sz w:val="21"/>
                <w:szCs w:val="21"/>
                <w:lang w:val="en-US" w:eastAsia="zh-CN"/>
              </w:rPr>
              <w:t>3.我局将救灾资金拨付给受灾地区</w:t>
            </w:r>
          </w:p>
        </w:tc>
        <w:tc>
          <w:tcPr>
            <w:tcW w:w="1276" w:type="dxa"/>
            <w:vAlign w:val="center"/>
          </w:tcPr>
          <w:p>
            <w:pPr>
              <w:spacing w:line="240" w:lineRule="atLeast"/>
              <w:jc w:val="center"/>
              <w:rPr>
                <w:rFonts w:hint="eastAsia" w:ascii="仿宋_GB2312" w:hAnsi="仿宋_GB2312" w:eastAsia="仿宋_GB2312" w:cs="仿宋_GB2312"/>
                <w:sz w:val="21"/>
                <w:szCs w:val="21"/>
              </w:rPr>
            </w:pP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bl>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濮阳市华龙区应急管理局行政执法权责清单、岗责体系</w:t>
      </w:r>
    </w:p>
    <w:p>
      <w:pPr>
        <w:jc w:val="center"/>
        <w:rPr>
          <w:rFonts w:ascii="楷体" w:hAnsi="楷体" w:eastAsia="楷体"/>
          <w:sz w:val="21"/>
          <w:szCs w:val="21"/>
        </w:rPr>
      </w:pPr>
      <w:r>
        <w:rPr>
          <w:rFonts w:hint="eastAsia" w:ascii="楷体" w:hAnsi="楷体" w:eastAsia="楷体"/>
          <w:sz w:val="21"/>
          <w:szCs w:val="21"/>
        </w:rPr>
        <w:t>（</w:t>
      </w:r>
      <w:r>
        <w:rPr>
          <w:rFonts w:hint="eastAsia" w:ascii="楷体" w:hAnsi="楷体" w:eastAsia="楷体"/>
          <w:sz w:val="21"/>
          <w:szCs w:val="21"/>
          <w:lang w:val="en-US" w:eastAsia="zh-CN"/>
        </w:rPr>
        <w:t>五</w:t>
      </w:r>
      <w:bookmarkStart w:id="0" w:name="_GoBack"/>
      <w:bookmarkEnd w:id="0"/>
      <w:r>
        <w:rPr>
          <w:rFonts w:hint="eastAsia" w:ascii="楷体" w:hAnsi="楷体" w:eastAsia="楷体"/>
          <w:sz w:val="21"/>
          <w:szCs w:val="21"/>
        </w:rPr>
        <w:t>）</w:t>
      </w:r>
      <w:r>
        <w:rPr>
          <w:rFonts w:hint="eastAsia" w:ascii="楷体" w:hAnsi="楷体" w:eastAsia="楷体"/>
          <w:sz w:val="21"/>
          <w:szCs w:val="21"/>
          <w:lang w:eastAsia="zh-CN"/>
        </w:rPr>
        <w:t>其他职权</w:t>
      </w:r>
      <w:r>
        <w:rPr>
          <w:rFonts w:hint="eastAsia" w:ascii="楷体" w:hAnsi="楷体" w:eastAsia="楷体"/>
          <w:sz w:val="21"/>
          <w:szCs w:val="21"/>
        </w:rPr>
        <w:t>类</w:t>
      </w:r>
    </w:p>
    <w:tbl>
      <w:tblPr>
        <w:tblStyle w:val="5"/>
        <w:tblW w:w="14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843"/>
        <w:gridCol w:w="5922"/>
        <w:gridCol w:w="1276"/>
        <w:gridCol w:w="795"/>
        <w:gridCol w:w="2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7"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职权</w:t>
            </w:r>
          </w:p>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类别</w:t>
            </w:r>
          </w:p>
        </w:tc>
        <w:tc>
          <w:tcPr>
            <w:tcW w:w="1276"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职权名称</w:t>
            </w:r>
          </w:p>
        </w:tc>
        <w:tc>
          <w:tcPr>
            <w:tcW w:w="1843"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实施依据</w:t>
            </w:r>
          </w:p>
        </w:tc>
        <w:tc>
          <w:tcPr>
            <w:tcW w:w="5922"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责任事项（岗位责任）</w:t>
            </w:r>
          </w:p>
        </w:tc>
        <w:tc>
          <w:tcPr>
            <w:tcW w:w="1276"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办理期限</w:t>
            </w:r>
          </w:p>
        </w:tc>
        <w:tc>
          <w:tcPr>
            <w:tcW w:w="795"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收费情况</w:t>
            </w:r>
          </w:p>
        </w:tc>
        <w:tc>
          <w:tcPr>
            <w:tcW w:w="2638"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违法责任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17"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其他职权</w:t>
            </w:r>
            <w:r>
              <w:rPr>
                <w:rFonts w:hint="eastAsia" w:ascii="仿宋_GB2312" w:hAnsi="仿宋_GB2312" w:eastAsia="仿宋_GB2312" w:cs="仿宋_GB2312"/>
                <w:sz w:val="21"/>
                <w:szCs w:val="21"/>
              </w:rPr>
              <w:t>类</w:t>
            </w:r>
          </w:p>
        </w:tc>
        <w:tc>
          <w:tcPr>
            <w:tcW w:w="1276" w:type="dxa"/>
            <w:vMerge w:val="restart"/>
            <w:vAlign w:val="center"/>
          </w:tcPr>
          <w:p>
            <w:pPr>
              <w:spacing w:line="240" w:lineRule="atLeas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生产安全事故应急预案备案</w:t>
            </w:r>
          </w:p>
        </w:tc>
        <w:tc>
          <w:tcPr>
            <w:tcW w:w="1843" w:type="dxa"/>
            <w:vMerge w:val="restart"/>
            <w:vAlign w:val="center"/>
          </w:tcPr>
          <w:p>
            <w:pPr>
              <w:spacing w:line="240" w:lineRule="atLeas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eastAsia="zh-CN"/>
              </w:rPr>
              <w:t>生产安全事故应急条例</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eastAsia="zh-CN"/>
              </w:rPr>
              <w:t>第七条</w:t>
            </w:r>
          </w:p>
        </w:tc>
        <w:tc>
          <w:tcPr>
            <w:tcW w:w="5922" w:type="dxa"/>
            <w:tcBorders>
              <w:bottom w:val="single" w:color="auto" w:sz="4" w:space="0"/>
            </w:tcBorders>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1.受理责任（受理岗）：接</w:t>
            </w:r>
            <w:r>
              <w:rPr>
                <w:rFonts w:hint="eastAsia" w:ascii="仿宋_GB2312" w:hAnsi="仿宋_GB2312" w:eastAsia="仿宋_GB2312" w:cs="仿宋_GB2312"/>
                <w:sz w:val="21"/>
                <w:szCs w:val="21"/>
                <w:lang w:eastAsia="zh-CN"/>
              </w:rPr>
              <w:t>收备案申</w:t>
            </w:r>
            <w:r>
              <w:rPr>
                <w:rFonts w:hint="eastAsia" w:ascii="仿宋_GB2312" w:hAnsi="仿宋_GB2312" w:eastAsia="仿宋_GB2312" w:cs="仿宋_GB2312"/>
                <w:sz w:val="21"/>
                <w:szCs w:val="21"/>
              </w:rPr>
              <w:t>请材料，依法受理或不予受理；不予受理的依法告知理由；申请材料不齐全的，一次性告知需补正材料。</w:t>
            </w:r>
          </w:p>
        </w:tc>
        <w:tc>
          <w:tcPr>
            <w:tcW w:w="1276"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w:t>
            </w:r>
            <w:r>
              <w:rPr>
                <w:rFonts w:hint="eastAsia" w:ascii="仿宋_GB2312" w:hAnsi="仿宋_GB2312" w:eastAsia="仿宋_GB2312" w:cs="仿宋_GB2312"/>
                <w:sz w:val="21"/>
                <w:szCs w:val="21"/>
              </w:rPr>
              <w:t>日</w:t>
            </w:r>
          </w:p>
        </w:tc>
        <w:tc>
          <w:tcPr>
            <w:tcW w:w="795" w:type="dxa"/>
            <w:vMerge w:val="restart"/>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否</w:t>
            </w:r>
          </w:p>
        </w:tc>
        <w:tc>
          <w:tcPr>
            <w:tcW w:w="2638" w:type="dxa"/>
            <w:vMerge w:val="restart"/>
            <w:vAlign w:val="center"/>
          </w:tcPr>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机关未履行法定职责或者违法行使职权的，责令限期改正；逾期不改正的，给予通报批评、取消评比先进资格等处理；情节严重的，对直接负责的主管人员和其他直接责任人员依法给予处分；构成犯罪的依法追究刑事责任。</w:t>
            </w:r>
          </w:p>
          <w:p>
            <w:pPr>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行政执法人员未履行法定职责或者违法行使职权的，视情节轻重给予批评教育、离岗培训、调离执法岗位、取消行政执法资格等处理或者依法给予处分；构成犯罪的，依法追究刑事责任。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7"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5922" w:type="dxa"/>
            <w:tcBorders>
              <w:bottom w:val="single" w:color="auto" w:sz="4" w:space="0"/>
            </w:tcBorders>
            <w:vAlign w:val="center"/>
          </w:tcPr>
          <w:p>
            <w:pPr>
              <w:spacing w:line="240" w:lineRule="atLeast"/>
              <w:jc w:val="left"/>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2.审查责任（审查岗）：进行材料审查；需要现场核查的，组织</w:t>
            </w:r>
            <w:r>
              <w:rPr>
                <w:rFonts w:hint="eastAsia" w:ascii="仿宋_GB2312" w:hAnsi="仿宋_GB2312" w:eastAsia="仿宋_GB2312" w:cs="仿宋_GB2312"/>
                <w:sz w:val="21"/>
                <w:szCs w:val="21"/>
                <w:lang w:eastAsia="zh-CN"/>
              </w:rPr>
              <w:t>专家</w:t>
            </w:r>
            <w:r>
              <w:rPr>
                <w:rFonts w:hint="eastAsia" w:ascii="仿宋_GB2312" w:hAnsi="仿宋_GB2312" w:eastAsia="仿宋_GB2312" w:cs="仿宋_GB2312"/>
                <w:sz w:val="21"/>
                <w:szCs w:val="21"/>
              </w:rPr>
              <w:t>现场核查</w:t>
            </w:r>
            <w:r>
              <w:rPr>
                <w:rFonts w:hint="eastAsia" w:ascii="仿宋_GB2312" w:hAnsi="仿宋_GB2312" w:eastAsia="仿宋_GB2312" w:cs="仿宋_GB2312"/>
                <w:sz w:val="21"/>
                <w:szCs w:val="21"/>
                <w:lang w:eastAsia="zh-CN"/>
              </w:rPr>
              <w:t>，并书面告知申请人；根据需要征求有关部门意见；提出初审意见。涉及他人重大利益的，告知申请人和利害关系人陈述申辩权；依法应当听证或者行政机关认为需要听证的，告知申请人、利害关系人。</w:t>
            </w:r>
          </w:p>
        </w:tc>
        <w:tc>
          <w:tcPr>
            <w:tcW w:w="1276" w:type="dxa"/>
            <w:vAlign w:val="center"/>
          </w:tcPr>
          <w:p>
            <w:pPr>
              <w:spacing w:line="24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w:t>
            </w:r>
            <w:r>
              <w:rPr>
                <w:rFonts w:hint="eastAsia" w:ascii="仿宋_GB2312" w:hAnsi="仿宋_GB2312" w:eastAsia="仿宋_GB2312" w:cs="仿宋_GB2312"/>
                <w:sz w:val="21"/>
                <w:szCs w:val="21"/>
              </w:rPr>
              <w:t>日</w:t>
            </w: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5922" w:type="dxa"/>
            <w:tcBorders>
              <w:bottom w:val="single" w:color="auto" w:sz="4" w:space="0"/>
            </w:tcBorders>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3.决定责任（决定岗）：机关负责人审批后做出决定；对于不予</w:t>
            </w:r>
            <w:r>
              <w:rPr>
                <w:rFonts w:hint="eastAsia" w:ascii="仿宋_GB2312" w:hAnsi="仿宋_GB2312" w:eastAsia="仿宋_GB2312" w:cs="仿宋_GB2312"/>
                <w:sz w:val="21"/>
                <w:szCs w:val="21"/>
                <w:lang w:eastAsia="zh-CN"/>
              </w:rPr>
              <w:t>备案</w:t>
            </w:r>
            <w:r>
              <w:rPr>
                <w:rFonts w:hint="eastAsia" w:ascii="仿宋_GB2312" w:hAnsi="仿宋_GB2312" w:eastAsia="仿宋_GB2312" w:cs="仿宋_GB2312"/>
                <w:sz w:val="21"/>
                <w:szCs w:val="21"/>
              </w:rPr>
              <w:t>的，</w:t>
            </w:r>
            <w:r>
              <w:rPr>
                <w:rFonts w:hint="eastAsia" w:ascii="仿宋_GB2312" w:hAnsi="仿宋_GB2312" w:eastAsia="仿宋_GB2312" w:cs="仿宋_GB2312"/>
                <w:sz w:val="21"/>
                <w:szCs w:val="21"/>
                <w:lang w:eastAsia="zh-CN"/>
              </w:rPr>
              <w:t>及时</w:t>
            </w:r>
            <w:r>
              <w:rPr>
                <w:rFonts w:hint="eastAsia" w:ascii="仿宋_GB2312" w:hAnsi="仿宋_GB2312" w:eastAsia="仿宋_GB2312" w:cs="仿宋_GB2312"/>
                <w:sz w:val="21"/>
                <w:szCs w:val="21"/>
              </w:rPr>
              <w:t>告知申请人，并说明理由。</w:t>
            </w:r>
          </w:p>
        </w:tc>
        <w:tc>
          <w:tcPr>
            <w:tcW w:w="1276" w:type="dxa"/>
            <w:vAlign w:val="center"/>
          </w:tcPr>
          <w:p>
            <w:pPr>
              <w:spacing w:line="240" w:lineRule="atLeast"/>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1日</w:t>
            </w: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5922" w:type="dxa"/>
            <w:tcBorders>
              <w:bottom w:val="single" w:color="auto" w:sz="4" w:space="0"/>
            </w:tcBorders>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4.送达责任（送达岗）：制作</w:t>
            </w:r>
            <w:r>
              <w:rPr>
                <w:rFonts w:hint="eastAsia" w:ascii="仿宋_GB2312" w:hAnsi="仿宋_GB2312" w:eastAsia="仿宋_GB2312" w:cs="仿宋_GB2312"/>
                <w:sz w:val="21"/>
                <w:szCs w:val="21"/>
                <w:lang w:eastAsia="zh-CN"/>
              </w:rPr>
              <w:t>备案</w:t>
            </w:r>
            <w:r>
              <w:rPr>
                <w:rFonts w:hint="eastAsia" w:ascii="仿宋_GB2312" w:hAnsi="仿宋_GB2312" w:eastAsia="仿宋_GB2312" w:cs="仿宋_GB2312"/>
                <w:sz w:val="21"/>
                <w:szCs w:val="21"/>
              </w:rPr>
              <w:t>文书；将</w:t>
            </w:r>
            <w:r>
              <w:rPr>
                <w:rFonts w:hint="eastAsia" w:ascii="仿宋_GB2312" w:hAnsi="仿宋_GB2312" w:eastAsia="仿宋_GB2312" w:cs="仿宋_GB2312"/>
                <w:sz w:val="21"/>
                <w:szCs w:val="21"/>
                <w:lang w:eastAsia="zh-CN"/>
              </w:rPr>
              <w:t>备案登记表送达当事人；对于准予备案决定，应当公开供公众查询</w:t>
            </w:r>
            <w:r>
              <w:rPr>
                <w:rFonts w:hint="eastAsia" w:ascii="仿宋_GB2312" w:hAnsi="仿宋_GB2312" w:eastAsia="仿宋_GB2312" w:cs="仿宋_GB2312"/>
                <w:sz w:val="21"/>
                <w:szCs w:val="21"/>
              </w:rPr>
              <w:t>。</w:t>
            </w:r>
          </w:p>
        </w:tc>
        <w:tc>
          <w:tcPr>
            <w:tcW w:w="1276" w:type="dxa"/>
            <w:vAlign w:val="center"/>
          </w:tcPr>
          <w:p>
            <w:pPr>
              <w:spacing w:line="240" w:lineRule="atLeast"/>
              <w:jc w:val="center"/>
              <w:rPr>
                <w:rFonts w:hint="eastAsia" w:ascii="仿宋_GB2312" w:hAnsi="仿宋_GB2312" w:eastAsia="仿宋_GB2312" w:cs="仿宋_GB2312"/>
                <w:sz w:val="21"/>
                <w:szCs w:val="21"/>
              </w:rPr>
            </w:pP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17" w:type="dxa"/>
            <w:vMerge w:val="continue"/>
            <w:vAlign w:val="center"/>
          </w:tcPr>
          <w:p>
            <w:pPr>
              <w:spacing w:line="240" w:lineRule="atLeast"/>
              <w:jc w:val="center"/>
              <w:rPr>
                <w:rFonts w:ascii="仿宋" w:hAnsi="仿宋" w:eastAsia="仿宋"/>
                <w:sz w:val="21"/>
                <w:szCs w:val="21"/>
              </w:rPr>
            </w:pPr>
          </w:p>
        </w:tc>
        <w:tc>
          <w:tcPr>
            <w:tcW w:w="1276" w:type="dxa"/>
            <w:vMerge w:val="continue"/>
            <w:vAlign w:val="center"/>
          </w:tcPr>
          <w:p>
            <w:pPr>
              <w:spacing w:line="240" w:lineRule="atLeast"/>
              <w:jc w:val="center"/>
              <w:rPr>
                <w:rFonts w:ascii="仿宋" w:hAnsi="仿宋" w:eastAsia="仿宋"/>
                <w:sz w:val="21"/>
                <w:szCs w:val="21"/>
              </w:rPr>
            </w:pPr>
          </w:p>
        </w:tc>
        <w:tc>
          <w:tcPr>
            <w:tcW w:w="1843" w:type="dxa"/>
            <w:vMerge w:val="continue"/>
            <w:vAlign w:val="center"/>
          </w:tcPr>
          <w:p>
            <w:pPr>
              <w:spacing w:line="240" w:lineRule="atLeast"/>
              <w:jc w:val="center"/>
              <w:rPr>
                <w:rFonts w:ascii="Arial" w:hAnsi="Arial" w:cs="Arial"/>
                <w:color w:val="333333"/>
                <w:sz w:val="21"/>
                <w:szCs w:val="21"/>
                <w:shd w:val="clear" w:color="auto" w:fill="FFFFFF"/>
              </w:rPr>
            </w:pPr>
          </w:p>
        </w:tc>
        <w:tc>
          <w:tcPr>
            <w:tcW w:w="5922" w:type="dxa"/>
            <w:tcBorders>
              <w:bottom w:val="single" w:color="auto" w:sz="4" w:space="0"/>
            </w:tcBorders>
            <w:vAlign w:val="center"/>
          </w:tcPr>
          <w:p>
            <w:pPr>
              <w:spacing w:line="240" w:lineRule="atLeast"/>
              <w:jc w:val="left"/>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5.事后监管责任（事后监管岗）：</w:t>
            </w:r>
            <w:r>
              <w:rPr>
                <w:rFonts w:hint="eastAsia" w:ascii="仿宋_GB2312" w:hAnsi="仿宋_GB2312" w:eastAsia="仿宋_GB2312" w:cs="仿宋_GB2312"/>
                <w:sz w:val="21"/>
                <w:szCs w:val="21"/>
                <w:lang w:eastAsia="zh-CN"/>
              </w:rPr>
              <w:t>加</w:t>
            </w:r>
            <w:r>
              <w:rPr>
                <w:rFonts w:hint="eastAsia" w:ascii="仿宋_GB2312" w:hAnsi="仿宋_GB2312" w:eastAsia="仿宋_GB2312" w:cs="仿宋_GB2312"/>
                <w:sz w:val="21"/>
                <w:szCs w:val="21"/>
              </w:rPr>
              <w:t>强对</w:t>
            </w:r>
            <w:r>
              <w:rPr>
                <w:rFonts w:hint="eastAsia" w:ascii="仿宋_GB2312" w:hAnsi="仿宋_GB2312" w:eastAsia="仿宋_GB2312" w:cs="仿宋_GB2312"/>
                <w:sz w:val="21"/>
                <w:szCs w:val="21"/>
                <w:lang w:eastAsia="zh-CN"/>
              </w:rPr>
              <w:t>有关单位应急预案工作的监管。</w:t>
            </w:r>
          </w:p>
        </w:tc>
        <w:tc>
          <w:tcPr>
            <w:tcW w:w="1276" w:type="dxa"/>
            <w:vAlign w:val="center"/>
          </w:tcPr>
          <w:p>
            <w:pPr>
              <w:spacing w:line="240" w:lineRule="atLeast"/>
              <w:jc w:val="center"/>
              <w:rPr>
                <w:rFonts w:hint="eastAsia" w:ascii="仿宋_GB2312" w:hAnsi="仿宋_GB2312" w:eastAsia="仿宋_GB2312" w:cs="仿宋_GB2312"/>
                <w:sz w:val="21"/>
                <w:szCs w:val="21"/>
                <w:lang w:val="en-US" w:eastAsia="zh-CN"/>
              </w:rPr>
            </w:pPr>
          </w:p>
        </w:tc>
        <w:tc>
          <w:tcPr>
            <w:tcW w:w="795" w:type="dxa"/>
            <w:vMerge w:val="continue"/>
            <w:vAlign w:val="center"/>
          </w:tcPr>
          <w:p>
            <w:pPr>
              <w:spacing w:line="240" w:lineRule="atLeast"/>
              <w:jc w:val="center"/>
              <w:rPr>
                <w:rFonts w:ascii="仿宋" w:hAnsi="仿宋" w:eastAsia="仿宋"/>
                <w:sz w:val="21"/>
                <w:szCs w:val="21"/>
              </w:rPr>
            </w:pPr>
          </w:p>
        </w:tc>
        <w:tc>
          <w:tcPr>
            <w:tcW w:w="2638" w:type="dxa"/>
            <w:vMerge w:val="continue"/>
            <w:vAlign w:val="center"/>
          </w:tcPr>
          <w:p>
            <w:pPr>
              <w:spacing w:line="240" w:lineRule="atLeast"/>
              <w:ind w:firstLine="420" w:firstLineChars="200"/>
              <w:jc w:val="left"/>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817" w:type="dxa"/>
            <w:vMerge w:val="continue"/>
            <w:tcBorders>
              <w:bottom w:val="single" w:color="auto" w:sz="4" w:space="0"/>
            </w:tcBorders>
            <w:vAlign w:val="center"/>
          </w:tcPr>
          <w:p>
            <w:pPr>
              <w:spacing w:line="240" w:lineRule="atLeast"/>
              <w:jc w:val="center"/>
              <w:rPr>
                <w:rFonts w:ascii="仿宋" w:hAnsi="仿宋" w:eastAsia="仿宋"/>
                <w:sz w:val="21"/>
                <w:szCs w:val="21"/>
              </w:rPr>
            </w:pPr>
          </w:p>
        </w:tc>
        <w:tc>
          <w:tcPr>
            <w:tcW w:w="1276" w:type="dxa"/>
            <w:vMerge w:val="continue"/>
            <w:tcBorders>
              <w:bottom w:val="single" w:color="auto" w:sz="4" w:space="0"/>
            </w:tcBorders>
            <w:vAlign w:val="center"/>
          </w:tcPr>
          <w:p>
            <w:pPr>
              <w:spacing w:line="240" w:lineRule="atLeast"/>
              <w:jc w:val="center"/>
              <w:rPr>
                <w:rFonts w:ascii="仿宋" w:hAnsi="仿宋" w:eastAsia="仿宋"/>
                <w:sz w:val="21"/>
                <w:szCs w:val="21"/>
              </w:rPr>
            </w:pPr>
          </w:p>
        </w:tc>
        <w:tc>
          <w:tcPr>
            <w:tcW w:w="1843" w:type="dxa"/>
            <w:vMerge w:val="continue"/>
            <w:tcBorders>
              <w:bottom w:val="single" w:color="auto" w:sz="4" w:space="0"/>
            </w:tcBorders>
            <w:vAlign w:val="center"/>
          </w:tcPr>
          <w:p>
            <w:pPr>
              <w:spacing w:line="240" w:lineRule="atLeast"/>
              <w:jc w:val="center"/>
              <w:rPr>
                <w:rFonts w:ascii="Arial" w:hAnsi="Arial" w:cs="Arial"/>
                <w:color w:val="333333"/>
                <w:sz w:val="21"/>
                <w:szCs w:val="21"/>
                <w:shd w:val="clear" w:color="auto" w:fill="FFFFFF"/>
              </w:rPr>
            </w:pPr>
          </w:p>
        </w:tc>
        <w:tc>
          <w:tcPr>
            <w:tcW w:w="5922" w:type="dxa"/>
            <w:tcBorders>
              <w:bottom w:val="single" w:color="auto" w:sz="4" w:space="0"/>
            </w:tcBorders>
            <w:vAlign w:val="center"/>
          </w:tcPr>
          <w:p>
            <w:pPr>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6.法律法规规章</w:t>
            </w:r>
            <w:r>
              <w:rPr>
                <w:rFonts w:hint="eastAsia" w:ascii="仿宋_GB2312" w:hAnsi="仿宋_GB2312" w:eastAsia="仿宋_GB2312" w:cs="仿宋_GB2312"/>
                <w:sz w:val="21"/>
                <w:szCs w:val="21"/>
                <w:lang w:eastAsia="zh-CN"/>
              </w:rPr>
              <w:t>文件</w:t>
            </w:r>
            <w:r>
              <w:rPr>
                <w:rFonts w:hint="eastAsia" w:ascii="仿宋_GB2312" w:hAnsi="仿宋_GB2312" w:eastAsia="仿宋_GB2312" w:cs="仿宋_GB2312"/>
                <w:sz w:val="21"/>
                <w:szCs w:val="21"/>
              </w:rPr>
              <w:t>规定的其他应履行的责任事项。</w:t>
            </w:r>
          </w:p>
        </w:tc>
        <w:tc>
          <w:tcPr>
            <w:tcW w:w="1276" w:type="dxa"/>
            <w:tcBorders>
              <w:bottom w:val="single" w:color="auto" w:sz="4" w:space="0"/>
            </w:tcBorders>
            <w:vAlign w:val="center"/>
          </w:tcPr>
          <w:p>
            <w:pPr>
              <w:spacing w:line="240" w:lineRule="atLeast"/>
              <w:jc w:val="left"/>
              <w:rPr>
                <w:rFonts w:hint="eastAsia" w:ascii="仿宋_GB2312" w:hAnsi="仿宋_GB2312" w:eastAsia="仿宋_GB2312" w:cs="仿宋_GB2312"/>
                <w:sz w:val="21"/>
                <w:szCs w:val="21"/>
              </w:rPr>
            </w:pPr>
          </w:p>
        </w:tc>
        <w:tc>
          <w:tcPr>
            <w:tcW w:w="795" w:type="dxa"/>
            <w:vMerge w:val="continue"/>
            <w:tcBorders>
              <w:bottom w:val="single" w:color="auto" w:sz="4" w:space="0"/>
            </w:tcBorders>
            <w:vAlign w:val="center"/>
          </w:tcPr>
          <w:p>
            <w:pPr>
              <w:spacing w:line="240" w:lineRule="atLeast"/>
              <w:jc w:val="left"/>
              <w:rPr>
                <w:rFonts w:ascii="仿宋" w:hAnsi="仿宋" w:eastAsia="仿宋"/>
                <w:sz w:val="21"/>
                <w:szCs w:val="21"/>
              </w:rPr>
            </w:pPr>
          </w:p>
        </w:tc>
        <w:tc>
          <w:tcPr>
            <w:tcW w:w="2638" w:type="dxa"/>
            <w:vMerge w:val="continue"/>
            <w:tcBorders>
              <w:bottom w:val="single" w:color="auto" w:sz="4" w:space="0"/>
            </w:tcBorders>
            <w:vAlign w:val="center"/>
          </w:tcPr>
          <w:p>
            <w:pPr>
              <w:spacing w:line="240" w:lineRule="atLeast"/>
              <w:ind w:firstLine="420" w:firstLineChars="200"/>
              <w:jc w:val="left"/>
              <w:rPr>
                <w:rFonts w:ascii="仿宋" w:hAnsi="仿宋" w:eastAsia="仿宋"/>
                <w:sz w:val="21"/>
                <w:szCs w:val="21"/>
              </w:rPr>
            </w:pPr>
          </w:p>
        </w:tc>
      </w:tr>
    </w:tbl>
    <w:p>
      <w:pPr>
        <w:rPr>
          <w:sz w:val="21"/>
          <w:szCs w:val="21"/>
        </w:rPr>
      </w:pPr>
    </w:p>
    <w:sectPr>
      <w:headerReference r:id="rId3" w:type="default"/>
      <w:footerReference r:id="rId4"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Calibri" w:hAnsi="Calibri" w:eastAsia="宋体" w:cs="黑体"/>
        <w:kern w:val="2"/>
        <w:sz w:val="18"/>
        <w:szCs w:val="18"/>
        <w:lang w:val="en-US" w:eastAsia="zh-CN" w:bidi="ar-SA"/>
      </w:rPr>
      <w:pict>
        <v:shape id="Quad Arrow 1025" o:spid="_x0000_s4097"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353F95"/>
    <w:multiLevelType w:val="singleLevel"/>
    <w:tmpl w:val="14353F9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000000"/>
    <w:rsid w:val="0D6B52D4"/>
    <w:rsid w:val="12F355CA"/>
    <w:rsid w:val="4B38126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2021-01-11T01:18:00Z</dcterms:created>
  <dc:creator>d</dc:creator>
  <cp:lastModifiedBy>Administrator</cp:lastModifiedBy>
  <dcterms:modified xsi:type="dcterms:W3CDTF">2021-09-24T08:22:04Z</dcterms:modified>
  <dc:title>应急局危化局行政执法权责清单、岗责体系</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4475A376138C47DB954C6A632C82F403</vt:lpwstr>
  </property>
</Properties>
</file>